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黑体" w:hAnsi="黑体" w:eastAsia="黑体" w:cs="黑体"/>
          <w:b/>
          <w:sz w:val="52"/>
          <w:szCs w:val="52"/>
          <w:lang w:val="en-US"/>
        </w:rPr>
      </w:pPr>
    </w:p>
    <w:p>
      <w:pPr>
        <w:pStyle w:val="7"/>
        <w:jc w:val="center"/>
        <w:rPr>
          <w:rFonts w:ascii="黑体" w:hAnsi="黑体" w:eastAsia="黑体" w:cs="黑体"/>
          <w:b/>
          <w:sz w:val="52"/>
          <w:szCs w:val="52"/>
          <w:lang w:val="en-US"/>
        </w:rPr>
      </w:pPr>
    </w:p>
    <w:p>
      <w:pPr>
        <w:pStyle w:val="7"/>
        <w:jc w:val="center"/>
        <w:rPr>
          <w:rFonts w:hint="eastAsia" w:ascii="宋体" w:hAnsi="宋体" w:eastAsia="宋体" w:cs="宋体"/>
          <w:b/>
          <w:bCs w:val="0"/>
          <w:sz w:val="52"/>
          <w:szCs w:val="52"/>
          <w:lang w:val="en-US"/>
        </w:rPr>
      </w:pPr>
      <w:r>
        <w:rPr>
          <w:rFonts w:hint="eastAsia" w:ascii="宋体" w:hAnsi="宋体" w:eastAsia="宋体" w:cs="宋体"/>
          <w:b/>
          <w:bCs w:val="0"/>
          <w:sz w:val="52"/>
          <w:szCs w:val="52"/>
          <w:lang w:val="en-US"/>
        </w:rPr>
        <w:t>内蒙古黄河工贸集团滴沥帮煤炭</w:t>
      </w:r>
    </w:p>
    <w:p>
      <w:pPr>
        <w:pStyle w:val="7"/>
        <w:jc w:val="center"/>
        <w:rPr>
          <w:rFonts w:hint="eastAsia" w:ascii="宋体" w:hAnsi="宋体" w:eastAsia="宋体" w:cs="宋体"/>
          <w:b/>
          <w:bCs w:val="0"/>
          <w:sz w:val="52"/>
          <w:szCs w:val="52"/>
          <w:lang w:val="en-US"/>
        </w:rPr>
      </w:pPr>
      <w:r>
        <w:rPr>
          <w:rFonts w:hint="eastAsia" w:ascii="宋体" w:hAnsi="宋体" w:eastAsia="宋体" w:cs="宋体"/>
          <w:b/>
          <w:bCs w:val="0"/>
          <w:sz w:val="52"/>
          <w:szCs w:val="52"/>
          <w:lang w:val="en-US"/>
        </w:rPr>
        <w:t>有限公司煤矿2021年度矿山地质</w:t>
      </w:r>
    </w:p>
    <w:p>
      <w:pPr>
        <w:pStyle w:val="7"/>
        <w:jc w:val="center"/>
        <w:rPr>
          <w:rFonts w:hint="eastAsia" w:ascii="宋体" w:hAnsi="宋体" w:eastAsia="宋体" w:cs="宋体"/>
          <w:b/>
          <w:bCs w:val="0"/>
          <w:sz w:val="52"/>
          <w:szCs w:val="52"/>
          <w:lang w:val="en-US"/>
        </w:rPr>
      </w:pPr>
      <w:r>
        <w:rPr>
          <w:rFonts w:hint="eastAsia" w:ascii="宋体" w:hAnsi="宋体" w:eastAsia="宋体" w:cs="宋体"/>
          <w:b/>
          <w:bCs w:val="0"/>
          <w:sz w:val="52"/>
          <w:szCs w:val="52"/>
          <w:lang w:val="en-US"/>
        </w:rPr>
        <w:t>环境治理计划书</w:t>
      </w: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jc w:val="center"/>
        <w:rPr>
          <w:rFonts w:hint="eastAsia" w:ascii="宋体" w:hAnsi="宋体" w:eastAsia="宋体" w:cs="宋体"/>
          <w:b w:val="0"/>
          <w:bCs/>
          <w:sz w:val="36"/>
        </w:rPr>
      </w:pPr>
    </w:p>
    <w:p>
      <w:pPr>
        <w:pStyle w:val="7"/>
        <w:ind w:left="0" w:leftChars="0" w:firstLine="1317" w:firstLineChars="366"/>
        <w:jc w:val="both"/>
        <w:rPr>
          <w:rFonts w:hint="eastAsia" w:ascii="宋体" w:hAnsi="宋体" w:eastAsia="宋体" w:cs="宋体"/>
          <w:b w:val="0"/>
          <w:bCs/>
          <w:sz w:val="36"/>
        </w:rPr>
      </w:pPr>
    </w:p>
    <w:p>
      <w:pPr>
        <w:spacing w:line="339" w:lineRule="auto"/>
        <w:ind w:left="0" w:leftChars="0" w:firstLine="1176" w:firstLineChars="366"/>
        <w:jc w:val="both"/>
        <w:rPr>
          <w:rFonts w:hint="eastAsia" w:ascii="宋体" w:hAnsi="宋体" w:eastAsia="宋体" w:cs="宋体"/>
          <w:b/>
          <w:bCs w:val="0"/>
          <w:sz w:val="32"/>
          <w:szCs w:val="32"/>
          <w:lang w:val="en-US"/>
        </w:rPr>
      </w:pPr>
      <w:r>
        <w:rPr>
          <w:rFonts w:hint="eastAsia" w:ascii="宋体" w:hAnsi="宋体" w:eastAsia="宋体" w:cs="宋体"/>
          <w:b/>
          <w:bCs w:val="0"/>
          <w:sz w:val="32"/>
          <w:szCs w:val="32"/>
        </w:rPr>
        <w:t>编制单位：内蒙古黄河工贸集团滴沥帮煤炭有限公司</w:t>
      </w:r>
    </w:p>
    <w:p>
      <w:pPr>
        <w:spacing w:line="339" w:lineRule="auto"/>
        <w:ind w:left="0" w:leftChars="0" w:firstLine="1176" w:firstLineChars="366"/>
        <w:jc w:val="both"/>
        <w:rPr>
          <w:rFonts w:hint="eastAsia" w:ascii="宋体" w:hAnsi="宋体" w:eastAsia="宋体" w:cs="宋体"/>
          <w:b/>
          <w:bCs w:val="0"/>
          <w:sz w:val="32"/>
          <w:szCs w:val="32"/>
        </w:rPr>
        <w:sectPr>
          <w:headerReference r:id="rId3" w:type="default"/>
          <w:pgSz w:w="11900" w:h="16840"/>
          <w:pgMar w:top="1600" w:right="860" w:bottom="280" w:left="1240" w:header="720" w:footer="720" w:gutter="0"/>
          <w:pgNumType w:start="0"/>
          <w:cols w:space="720" w:num="1"/>
          <w:titlePg/>
        </w:sectPr>
      </w:pPr>
      <w:r>
        <w:rPr>
          <w:rFonts w:hint="eastAsia" w:ascii="宋体" w:hAnsi="宋体" w:eastAsia="宋体" w:cs="宋体"/>
          <w:b/>
          <w:bCs w:val="0"/>
          <w:sz w:val="32"/>
          <w:szCs w:val="32"/>
        </w:rPr>
        <w:t>编制时间：202</w:t>
      </w:r>
      <w:r>
        <w:rPr>
          <w:rFonts w:hint="eastAsia" w:ascii="宋体" w:hAnsi="宋体" w:eastAsia="宋体" w:cs="宋体"/>
          <w:b/>
          <w:bCs w:val="0"/>
          <w:sz w:val="32"/>
          <w:szCs w:val="32"/>
          <w:lang w:val="en-US"/>
        </w:rPr>
        <w:t>1</w:t>
      </w:r>
      <w:r>
        <w:rPr>
          <w:rFonts w:hint="eastAsia" w:ascii="宋体" w:hAnsi="宋体" w:eastAsia="宋体" w:cs="宋体"/>
          <w:b/>
          <w:bCs w:val="0"/>
          <w:sz w:val="32"/>
          <w:szCs w:val="32"/>
        </w:rPr>
        <w:t>年</w:t>
      </w:r>
      <w:r>
        <w:rPr>
          <w:rFonts w:hint="eastAsia" w:ascii="宋体" w:hAnsi="宋体" w:eastAsia="宋体" w:cs="宋体"/>
          <w:b/>
          <w:bCs w:val="0"/>
          <w:sz w:val="32"/>
          <w:szCs w:val="32"/>
          <w:lang w:val="en-US"/>
        </w:rPr>
        <w:t>3</w:t>
      </w:r>
      <w:r>
        <w:rPr>
          <w:rFonts w:hint="eastAsia" w:ascii="宋体" w:hAnsi="宋体" w:eastAsia="宋体" w:cs="宋体"/>
          <w:b/>
          <w:bCs w:val="0"/>
          <w:sz w:val="32"/>
          <w:szCs w:val="32"/>
        </w:rPr>
        <w:t>月</w:t>
      </w:r>
      <w:r>
        <w:rPr>
          <w:rFonts w:hint="eastAsia" w:ascii="宋体" w:hAnsi="宋体" w:eastAsia="宋体" w:cs="宋体"/>
          <w:b/>
          <w:bCs w:val="0"/>
          <w:sz w:val="32"/>
          <w:szCs w:val="32"/>
          <w:lang w:val="en-US"/>
        </w:rPr>
        <w:t>26日</w:t>
      </w:r>
    </w:p>
    <w:sdt>
      <w:sdtPr>
        <w:rPr>
          <w:rFonts w:ascii="宋体" w:hAnsi="宋体" w:eastAsia="宋体" w:cs="宋体"/>
          <w:sz w:val="21"/>
          <w:szCs w:val="22"/>
          <w:lang w:val="zh-CN" w:eastAsia="zh-CN" w:bidi="zh-CN"/>
        </w:rPr>
        <w:id w:val="147464957"/>
        <w15:color w:val="DBDBDB"/>
        <w:docPartObj>
          <w:docPartGallery w:val="Table of Contents"/>
          <w:docPartUnique/>
        </w:docPartObj>
      </w:sdtPr>
      <w:sdtEndPr>
        <w:rPr>
          <w:rFonts w:hint="eastAsia" w:ascii="宋体" w:hAnsi="宋体" w:eastAsia="宋体" w:cs="宋体"/>
          <w:b/>
          <w:bCs/>
          <w:sz w:val="22"/>
          <w:szCs w:val="30"/>
          <w:lang w:val="en-US" w:eastAsia="zh-CN" w:bidi="zh-CN"/>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pStyle w:val="41"/>
            <w:tabs>
              <w:tab w:val="right" w:pos="2800"/>
              <w:tab w:val="right" w:leader="dot" w:pos="9470"/>
            </w:tabs>
            <w:rPr>
              <w:rFonts w:hint="eastAsia" w:ascii="宋体" w:hAnsi="宋体" w:eastAsia="宋体" w:cs="宋体"/>
              <w:b/>
              <w:sz w:val="30"/>
              <w:szCs w:val="30"/>
            </w:rPr>
          </w:pP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TOC \o "1-2" \h \u </w:instrText>
          </w:r>
          <w:r>
            <w:rPr>
              <w:rFonts w:hint="eastAsia" w:ascii="宋体" w:hAnsi="宋体" w:eastAsia="宋体" w:cs="宋体"/>
              <w:b/>
              <w:bCs/>
              <w:sz w:val="30"/>
              <w:szCs w:val="30"/>
              <w:lang w:val="en-US"/>
            </w:rPr>
            <w:fldChar w:fldCharType="separate"/>
          </w: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 HYPERLINK \l _Toc25160 </w:instrText>
          </w:r>
          <w:r>
            <w:rPr>
              <w:rFonts w:hint="eastAsia" w:ascii="宋体" w:hAnsi="宋体" w:eastAsia="宋体" w:cs="宋体"/>
              <w:b/>
              <w:bCs/>
              <w:sz w:val="30"/>
              <w:szCs w:val="30"/>
              <w:lang w:val="en-US"/>
            </w:rPr>
            <w:fldChar w:fldCharType="separate"/>
          </w:r>
          <w:r>
            <w:rPr>
              <w:rFonts w:hint="eastAsia" w:ascii="宋体" w:hAnsi="宋体" w:eastAsia="宋体" w:cs="宋体"/>
              <w:b/>
              <w:sz w:val="30"/>
              <w:szCs w:val="30"/>
            </w:rPr>
            <w:t>第一章</w:t>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rPr>
            <w:tab/>
          </w:r>
          <w:r>
            <w:rPr>
              <w:rFonts w:hint="eastAsia" w:ascii="宋体" w:hAnsi="宋体" w:eastAsia="宋体" w:cs="宋体"/>
              <w:b/>
              <w:sz w:val="30"/>
              <w:szCs w:val="30"/>
            </w:rPr>
            <w:t>矿山基本情况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_Toc25160 </w:instrText>
          </w:r>
          <w:r>
            <w:rPr>
              <w:rFonts w:hint="eastAsia" w:ascii="宋体" w:hAnsi="宋体" w:eastAsia="宋体" w:cs="宋体"/>
              <w:b/>
              <w:sz w:val="30"/>
              <w:szCs w:val="30"/>
            </w:rPr>
            <w:fldChar w:fldCharType="separate"/>
          </w:r>
          <w:r>
            <w:rPr>
              <w:rFonts w:hint="eastAsia" w:ascii="宋体" w:hAnsi="宋体" w:eastAsia="宋体" w:cs="宋体"/>
              <w:b/>
              <w:sz w:val="30"/>
              <w:szCs w:val="30"/>
            </w:rPr>
            <w:t>2</w:t>
          </w:r>
          <w:r>
            <w:rPr>
              <w:rFonts w:hint="eastAsia" w:ascii="宋体" w:hAnsi="宋体" w:eastAsia="宋体" w:cs="宋体"/>
              <w:b/>
              <w:sz w:val="30"/>
              <w:szCs w:val="30"/>
            </w:rPr>
            <w:fldChar w:fldCharType="end"/>
          </w:r>
          <w:r>
            <w:rPr>
              <w:rFonts w:hint="eastAsia" w:ascii="宋体" w:hAnsi="宋体" w:eastAsia="宋体" w:cs="宋体"/>
              <w:b/>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_Toc11789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第一节 矿区自然地理</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_Toc11789 </w:instrText>
          </w:r>
          <w:r>
            <w:rPr>
              <w:rFonts w:hint="eastAsia" w:ascii="宋体" w:hAnsi="宋体" w:eastAsia="宋体" w:cs="宋体"/>
              <w:sz w:val="30"/>
              <w:szCs w:val="30"/>
            </w:rPr>
            <w:fldChar w:fldCharType="separate"/>
          </w:r>
          <w:r>
            <w:rPr>
              <w:rFonts w:hint="eastAsia" w:ascii="宋体" w:hAnsi="宋体" w:eastAsia="宋体" w:cs="宋体"/>
              <w:sz w:val="30"/>
              <w:szCs w:val="30"/>
            </w:rPr>
            <w:t>2</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_Toc7697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第二节 矿区地质条件</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_Toc7697 </w:instrText>
          </w:r>
          <w:r>
            <w:rPr>
              <w:rFonts w:hint="eastAsia" w:ascii="宋体" w:hAnsi="宋体" w:eastAsia="宋体" w:cs="宋体"/>
              <w:sz w:val="30"/>
              <w:szCs w:val="30"/>
            </w:rPr>
            <w:fldChar w:fldCharType="separate"/>
          </w:r>
          <w:r>
            <w:rPr>
              <w:rFonts w:hint="eastAsia" w:ascii="宋体" w:hAnsi="宋体" w:eastAsia="宋体" w:cs="宋体"/>
              <w:sz w:val="30"/>
              <w:szCs w:val="30"/>
            </w:rPr>
            <w:t>4</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_Toc7868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第三节 矿山概况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_Toc7868 </w:instrText>
          </w:r>
          <w:r>
            <w:rPr>
              <w:rFonts w:hint="eastAsia" w:ascii="宋体" w:hAnsi="宋体" w:eastAsia="宋体" w:cs="宋体"/>
              <w:sz w:val="30"/>
              <w:szCs w:val="30"/>
            </w:rPr>
            <w:fldChar w:fldCharType="separate"/>
          </w:r>
          <w:r>
            <w:rPr>
              <w:rFonts w:hint="eastAsia" w:ascii="宋体" w:hAnsi="宋体" w:eastAsia="宋体" w:cs="宋体"/>
              <w:sz w:val="30"/>
              <w:szCs w:val="30"/>
            </w:rPr>
            <w:t>12</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_Toc2692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第四节 矿山开发方案概述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_Toc2692 </w:instrText>
          </w:r>
          <w:r>
            <w:rPr>
              <w:rFonts w:hint="eastAsia" w:ascii="宋体" w:hAnsi="宋体" w:eastAsia="宋体" w:cs="宋体"/>
              <w:sz w:val="30"/>
              <w:szCs w:val="30"/>
            </w:rPr>
            <w:fldChar w:fldCharType="separate"/>
          </w:r>
          <w:r>
            <w:rPr>
              <w:rFonts w:hint="eastAsia" w:ascii="宋体" w:hAnsi="宋体" w:eastAsia="宋体" w:cs="宋体"/>
              <w:sz w:val="30"/>
              <w:szCs w:val="30"/>
            </w:rPr>
            <w:t>13</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1"/>
            <w:tabs>
              <w:tab w:val="right" w:pos="2800"/>
              <w:tab w:val="right" w:leader="dot" w:pos="9470"/>
            </w:tabs>
            <w:rPr>
              <w:rFonts w:hint="eastAsia" w:ascii="宋体" w:hAnsi="宋体" w:eastAsia="宋体" w:cs="宋体"/>
              <w:b/>
              <w:sz w:val="30"/>
              <w:szCs w:val="30"/>
            </w:rPr>
          </w:pP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 HYPERLINK \l _Toc7678 </w:instrText>
          </w:r>
          <w:r>
            <w:rPr>
              <w:rFonts w:hint="eastAsia" w:ascii="宋体" w:hAnsi="宋体" w:eastAsia="宋体" w:cs="宋体"/>
              <w:b/>
              <w:bCs/>
              <w:sz w:val="30"/>
              <w:szCs w:val="30"/>
              <w:lang w:val="en-US"/>
            </w:rPr>
            <w:fldChar w:fldCharType="separate"/>
          </w:r>
          <w:r>
            <w:rPr>
              <w:rFonts w:hint="eastAsia" w:ascii="宋体" w:hAnsi="宋体" w:eastAsia="宋体" w:cs="宋体"/>
              <w:b/>
              <w:sz w:val="30"/>
              <w:szCs w:val="30"/>
            </w:rPr>
            <w:t>第二章</w:t>
          </w:r>
          <w:r>
            <w:rPr>
              <w:rFonts w:hint="eastAsia" w:ascii="宋体" w:hAnsi="宋体" w:eastAsia="宋体" w:cs="宋体"/>
              <w:b/>
              <w:sz w:val="30"/>
              <w:szCs w:val="30"/>
            </w:rPr>
            <w:tab/>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rPr>
            <w:t>矿山环境现状及发展趋势</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_Toc7678 </w:instrText>
          </w:r>
          <w:r>
            <w:rPr>
              <w:rFonts w:hint="eastAsia" w:ascii="宋体" w:hAnsi="宋体" w:eastAsia="宋体" w:cs="宋体"/>
              <w:b/>
              <w:sz w:val="30"/>
              <w:szCs w:val="30"/>
            </w:rPr>
            <w:fldChar w:fldCharType="separate"/>
          </w:r>
          <w:r>
            <w:rPr>
              <w:rFonts w:hint="eastAsia" w:ascii="宋体" w:hAnsi="宋体" w:eastAsia="宋体" w:cs="宋体"/>
              <w:b/>
              <w:sz w:val="30"/>
              <w:szCs w:val="30"/>
            </w:rPr>
            <w:t>16</w:t>
          </w:r>
          <w:r>
            <w:rPr>
              <w:rFonts w:hint="eastAsia" w:ascii="宋体" w:hAnsi="宋体" w:eastAsia="宋体" w:cs="宋体"/>
              <w:b/>
              <w:sz w:val="30"/>
              <w:szCs w:val="30"/>
            </w:rPr>
            <w:fldChar w:fldCharType="end"/>
          </w:r>
          <w:r>
            <w:rPr>
              <w:rFonts w:hint="eastAsia" w:ascii="宋体" w:hAnsi="宋体" w:eastAsia="宋体" w:cs="宋体"/>
              <w:b/>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_Toc16014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第一节 矿山环境现状</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_Toc16014 </w:instrText>
          </w:r>
          <w:r>
            <w:rPr>
              <w:rFonts w:hint="eastAsia" w:ascii="宋体" w:hAnsi="宋体" w:eastAsia="宋体" w:cs="宋体"/>
              <w:sz w:val="30"/>
              <w:szCs w:val="30"/>
            </w:rPr>
            <w:fldChar w:fldCharType="separate"/>
          </w:r>
          <w:r>
            <w:rPr>
              <w:rFonts w:hint="eastAsia" w:ascii="宋体" w:hAnsi="宋体" w:eastAsia="宋体" w:cs="宋体"/>
              <w:sz w:val="30"/>
              <w:szCs w:val="30"/>
            </w:rPr>
            <w:t>16</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_Toc28055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第二节 矿山（地质）环境发展趋势分析</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_Toc28055 </w:instrText>
          </w:r>
          <w:r>
            <w:rPr>
              <w:rFonts w:hint="eastAsia" w:ascii="宋体" w:hAnsi="宋体" w:eastAsia="宋体" w:cs="宋体"/>
              <w:sz w:val="30"/>
              <w:szCs w:val="30"/>
            </w:rPr>
            <w:fldChar w:fldCharType="separate"/>
          </w:r>
          <w:r>
            <w:rPr>
              <w:rFonts w:hint="eastAsia" w:ascii="宋体" w:hAnsi="宋体" w:eastAsia="宋体" w:cs="宋体"/>
              <w:sz w:val="30"/>
              <w:szCs w:val="30"/>
            </w:rPr>
            <w:t>19</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1"/>
            <w:tabs>
              <w:tab w:val="right" w:pos="2800"/>
              <w:tab w:val="right" w:leader="dot" w:pos="9470"/>
            </w:tabs>
            <w:rPr>
              <w:rFonts w:hint="eastAsia" w:ascii="宋体" w:hAnsi="宋体" w:eastAsia="宋体" w:cs="宋体"/>
              <w:b/>
              <w:sz w:val="30"/>
              <w:szCs w:val="30"/>
            </w:rPr>
          </w:pP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 HYPERLINK \l _Toc2368 </w:instrText>
          </w:r>
          <w:r>
            <w:rPr>
              <w:rFonts w:hint="eastAsia" w:ascii="宋体" w:hAnsi="宋体" w:eastAsia="宋体" w:cs="宋体"/>
              <w:b/>
              <w:bCs/>
              <w:sz w:val="30"/>
              <w:szCs w:val="30"/>
              <w:lang w:val="en-US"/>
            </w:rPr>
            <w:fldChar w:fldCharType="separate"/>
          </w:r>
          <w:r>
            <w:rPr>
              <w:rFonts w:hint="eastAsia" w:ascii="宋体" w:hAnsi="宋体" w:eastAsia="宋体" w:cs="宋体"/>
              <w:b/>
              <w:sz w:val="30"/>
              <w:szCs w:val="30"/>
            </w:rPr>
            <w:t>第三章</w:t>
          </w:r>
          <w:r>
            <w:rPr>
              <w:rFonts w:hint="eastAsia" w:ascii="宋体" w:hAnsi="宋体" w:eastAsia="宋体" w:cs="宋体"/>
              <w:b/>
              <w:sz w:val="30"/>
              <w:szCs w:val="30"/>
            </w:rPr>
            <w:tab/>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rPr>
            <w:t>矿山环境影响评估</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_Toc2368 </w:instrText>
          </w:r>
          <w:r>
            <w:rPr>
              <w:rFonts w:hint="eastAsia" w:ascii="宋体" w:hAnsi="宋体" w:eastAsia="宋体" w:cs="宋体"/>
              <w:b/>
              <w:sz w:val="30"/>
              <w:szCs w:val="30"/>
            </w:rPr>
            <w:fldChar w:fldCharType="separate"/>
          </w:r>
          <w:r>
            <w:rPr>
              <w:rFonts w:hint="eastAsia" w:ascii="宋体" w:hAnsi="宋体" w:eastAsia="宋体" w:cs="宋体"/>
              <w:b/>
              <w:sz w:val="30"/>
              <w:szCs w:val="30"/>
            </w:rPr>
            <w:t>20</w:t>
          </w:r>
          <w:r>
            <w:rPr>
              <w:rFonts w:hint="eastAsia" w:ascii="宋体" w:hAnsi="宋体" w:eastAsia="宋体" w:cs="宋体"/>
              <w:b/>
              <w:sz w:val="30"/>
              <w:szCs w:val="30"/>
            </w:rPr>
            <w:fldChar w:fldCharType="end"/>
          </w:r>
          <w:r>
            <w:rPr>
              <w:rFonts w:hint="eastAsia" w:ascii="宋体" w:hAnsi="宋体" w:eastAsia="宋体" w:cs="宋体"/>
              <w:b/>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_Toc27438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第一节 评估范围及评估精度确定</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_Toc27438 </w:instrText>
          </w:r>
          <w:r>
            <w:rPr>
              <w:rFonts w:hint="eastAsia" w:ascii="宋体" w:hAnsi="宋体" w:eastAsia="宋体" w:cs="宋体"/>
              <w:sz w:val="30"/>
              <w:szCs w:val="30"/>
            </w:rPr>
            <w:fldChar w:fldCharType="separate"/>
          </w:r>
          <w:r>
            <w:rPr>
              <w:rFonts w:hint="eastAsia" w:ascii="宋体" w:hAnsi="宋体" w:eastAsia="宋体" w:cs="宋体"/>
              <w:sz w:val="30"/>
              <w:szCs w:val="30"/>
            </w:rPr>
            <w:t>20</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_Toc22805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第二节 矿山环境影响现状评估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_Toc22805 </w:instrText>
          </w:r>
          <w:r>
            <w:rPr>
              <w:rFonts w:hint="eastAsia" w:ascii="宋体" w:hAnsi="宋体" w:eastAsia="宋体" w:cs="宋体"/>
              <w:sz w:val="30"/>
              <w:szCs w:val="30"/>
            </w:rPr>
            <w:fldChar w:fldCharType="separate"/>
          </w:r>
          <w:r>
            <w:rPr>
              <w:rFonts w:hint="eastAsia" w:ascii="宋体" w:hAnsi="宋体" w:eastAsia="宋体" w:cs="宋体"/>
              <w:sz w:val="30"/>
              <w:szCs w:val="30"/>
            </w:rPr>
            <w:t>21</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_Toc31994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rPr>
            <w:t xml:space="preserve">第三节 </w:t>
          </w:r>
          <w:r>
            <w:rPr>
              <w:rFonts w:hint="eastAsia" w:ascii="宋体" w:hAnsi="宋体" w:eastAsia="宋体" w:cs="宋体"/>
              <w:bCs/>
              <w:sz w:val="30"/>
              <w:szCs w:val="30"/>
              <w:lang w:val="en-US" w:eastAsia="zh-CN"/>
            </w:rPr>
            <w:t xml:space="preserve"> </w:t>
          </w:r>
          <w:r>
            <w:rPr>
              <w:rFonts w:hint="eastAsia" w:ascii="宋体" w:hAnsi="宋体" w:eastAsia="宋体" w:cs="宋体"/>
              <w:bCs/>
              <w:sz w:val="30"/>
              <w:szCs w:val="30"/>
            </w:rPr>
            <w:t>矿山环境影响预测评估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_Toc31994 </w:instrText>
          </w:r>
          <w:r>
            <w:rPr>
              <w:rFonts w:hint="eastAsia" w:ascii="宋体" w:hAnsi="宋体" w:eastAsia="宋体" w:cs="宋体"/>
              <w:sz w:val="30"/>
              <w:szCs w:val="30"/>
            </w:rPr>
            <w:fldChar w:fldCharType="separate"/>
          </w:r>
          <w:r>
            <w:rPr>
              <w:rFonts w:hint="eastAsia" w:ascii="宋体" w:hAnsi="宋体" w:eastAsia="宋体" w:cs="宋体"/>
              <w:sz w:val="30"/>
              <w:szCs w:val="30"/>
            </w:rPr>
            <w:t>23</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_Toc3698 </w:instrText>
          </w:r>
          <w:r>
            <w:rPr>
              <w:rFonts w:hint="eastAsia" w:ascii="宋体" w:hAnsi="宋体" w:eastAsia="宋体" w:cs="宋体"/>
              <w:bCs/>
              <w:sz w:val="30"/>
              <w:szCs w:val="30"/>
              <w:lang w:val="en-US"/>
            </w:rPr>
            <w:fldChar w:fldCharType="separate"/>
          </w:r>
          <w:r>
            <w:rPr>
              <w:rFonts w:hint="eastAsia" w:ascii="宋体" w:hAnsi="宋体" w:eastAsia="宋体" w:cs="宋体"/>
              <w:sz w:val="30"/>
              <w:szCs w:val="30"/>
            </w:rPr>
            <w:t>第四节  矿山环境影响综合评估</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_Toc3698 </w:instrText>
          </w:r>
          <w:r>
            <w:rPr>
              <w:rFonts w:hint="eastAsia" w:ascii="宋体" w:hAnsi="宋体" w:eastAsia="宋体" w:cs="宋体"/>
              <w:sz w:val="30"/>
              <w:szCs w:val="30"/>
            </w:rPr>
            <w:fldChar w:fldCharType="separate"/>
          </w:r>
          <w:r>
            <w:rPr>
              <w:rFonts w:hint="eastAsia" w:ascii="宋体" w:hAnsi="宋体" w:eastAsia="宋体" w:cs="宋体"/>
              <w:sz w:val="30"/>
              <w:szCs w:val="30"/>
            </w:rPr>
            <w:t>30</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1"/>
            <w:tabs>
              <w:tab w:val="right" w:leader="dot" w:pos="9470"/>
            </w:tabs>
            <w:rPr>
              <w:rFonts w:hint="eastAsia" w:ascii="宋体" w:hAnsi="宋体" w:eastAsia="宋体" w:cs="宋体"/>
              <w:b/>
              <w:sz w:val="30"/>
              <w:szCs w:val="30"/>
            </w:rPr>
          </w:pP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 HYPERLINK \l _Toc20680 </w:instrText>
          </w:r>
          <w:r>
            <w:rPr>
              <w:rFonts w:hint="eastAsia" w:ascii="宋体" w:hAnsi="宋体" w:eastAsia="宋体" w:cs="宋体"/>
              <w:b/>
              <w:bCs/>
              <w:sz w:val="30"/>
              <w:szCs w:val="30"/>
              <w:lang w:val="en-US"/>
            </w:rPr>
            <w:fldChar w:fldCharType="separate"/>
          </w:r>
          <w:r>
            <w:rPr>
              <w:rFonts w:hint="eastAsia" w:ascii="宋体" w:hAnsi="宋体" w:eastAsia="宋体" w:cs="宋体"/>
              <w:b/>
              <w:bCs/>
              <w:sz w:val="30"/>
              <w:szCs w:val="30"/>
            </w:rPr>
            <w:t>第四章</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 xml:space="preserve"> </w:t>
          </w:r>
          <w:r>
            <w:rPr>
              <w:rFonts w:hint="eastAsia" w:ascii="宋体" w:hAnsi="宋体" w:eastAsia="宋体" w:cs="宋体"/>
              <w:b/>
              <w:bCs/>
              <w:sz w:val="30"/>
              <w:szCs w:val="30"/>
              <w:lang w:val="en-US" w:eastAsia="zh-CN"/>
            </w:rPr>
            <w:t>2020</w:t>
          </w:r>
          <w:r>
            <w:rPr>
              <w:rFonts w:hint="eastAsia" w:ascii="宋体" w:hAnsi="宋体" w:eastAsia="宋体" w:cs="宋体"/>
              <w:b/>
              <w:bCs/>
              <w:sz w:val="30"/>
              <w:szCs w:val="30"/>
            </w:rPr>
            <w:t>年前方案的编制情况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_Toc20680 </w:instrText>
          </w:r>
          <w:r>
            <w:rPr>
              <w:rFonts w:hint="eastAsia" w:ascii="宋体" w:hAnsi="宋体" w:eastAsia="宋体" w:cs="宋体"/>
              <w:b/>
              <w:sz w:val="30"/>
              <w:szCs w:val="30"/>
            </w:rPr>
            <w:fldChar w:fldCharType="separate"/>
          </w:r>
          <w:r>
            <w:rPr>
              <w:rFonts w:hint="eastAsia" w:ascii="宋体" w:hAnsi="宋体" w:eastAsia="宋体" w:cs="宋体"/>
              <w:b/>
              <w:sz w:val="30"/>
              <w:szCs w:val="30"/>
            </w:rPr>
            <w:t>31</w:t>
          </w:r>
          <w:r>
            <w:rPr>
              <w:rFonts w:hint="eastAsia" w:ascii="宋体" w:hAnsi="宋体" w:eastAsia="宋体" w:cs="宋体"/>
              <w:b/>
              <w:sz w:val="30"/>
              <w:szCs w:val="30"/>
            </w:rPr>
            <w:fldChar w:fldCharType="end"/>
          </w:r>
          <w:r>
            <w:rPr>
              <w:rFonts w:hint="eastAsia" w:ascii="宋体" w:hAnsi="宋体" w:eastAsia="宋体" w:cs="宋体"/>
              <w:b/>
              <w:bCs/>
              <w:sz w:val="30"/>
              <w:szCs w:val="30"/>
              <w:lang w:val="en-US"/>
            </w:rPr>
            <w:fldChar w:fldCharType="end"/>
          </w:r>
        </w:p>
        <w:p>
          <w:pPr>
            <w:pStyle w:val="41"/>
            <w:tabs>
              <w:tab w:val="right" w:leader="dot" w:pos="9470"/>
            </w:tabs>
            <w:rPr>
              <w:rFonts w:hint="eastAsia" w:ascii="宋体" w:hAnsi="宋体" w:eastAsia="宋体" w:cs="宋体"/>
              <w:b/>
              <w:sz w:val="30"/>
              <w:szCs w:val="30"/>
            </w:rPr>
          </w:pP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 HYPERLINK \l _Toc6905 </w:instrText>
          </w:r>
          <w:r>
            <w:rPr>
              <w:rFonts w:hint="eastAsia" w:ascii="宋体" w:hAnsi="宋体" w:eastAsia="宋体" w:cs="宋体"/>
              <w:b/>
              <w:bCs/>
              <w:sz w:val="30"/>
              <w:szCs w:val="30"/>
              <w:lang w:val="en-US"/>
            </w:rPr>
            <w:fldChar w:fldCharType="separate"/>
          </w:r>
          <w:r>
            <w:rPr>
              <w:rFonts w:hint="eastAsia" w:ascii="宋体" w:hAnsi="宋体" w:eastAsia="宋体" w:cs="宋体"/>
              <w:b/>
              <w:bCs/>
              <w:sz w:val="30"/>
              <w:szCs w:val="30"/>
            </w:rPr>
            <w:t>第五章</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lang w:val="en-US"/>
            </w:rPr>
            <w:t xml:space="preserve"> </w:t>
          </w:r>
          <w:r>
            <w:rPr>
              <w:rFonts w:hint="eastAsia" w:ascii="宋体" w:hAnsi="宋体" w:eastAsia="宋体" w:cs="宋体"/>
              <w:b/>
              <w:bCs/>
              <w:sz w:val="30"/>
              <w:szCs w:val="30"/>
            </w:rPr>
            <w:t>矿山地质环境治理工程验收及完成情况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_Toc6905 </w:instrText>
          </w:r>
          <w:r>
            <w:rPr>
              <w:rFonts w:hint="eastAsia" w:ascii="宋体" w:hAnsi="宋体" w:eastAsia="宋体" w:cs="宋体"/>
              <w:b/>
              <w:sz w:val="30"/>
              <w:szCs w:val="30"/>
            </w:rPr>
            <w:fldChar w:fldCharType="separate"/>
          </w:r>
          <w:r>
            <w:rPr>
              <w:rFonts w:hint="eastAsia" w:ascii="宋体" w:hAnsi="宋体" w:eastAsia="宋体" w:cs="宋体"/>
              <w:b/>
              <w:sz w:val="30"/>
              <w:szCs w:val="30"/>
            </w:rPr>
            <w:t>45</w:t>
          </w:r>
          <w:r>
            <w:rPr>
              <w:rFonts w:hint="eastAsia" w:ascii="宋体" w:hAnsi="宋体" w:eastAsia="宋体" w:cs="宋体"/>
              <w:b/>
              <w:sz w:val="30"/>
              <w:szCs w:val="30"/>
            </w:rPr>
            <w:fldChar w:fldCharType="end"/>
          </w:r>
          <w:r>
            <w:rPr>
              <w:rFonts w:hint="eastAsia" w:ascii="宋体" w:hAnsi="宋体" w:eastAsia="宋体" w:cs="宋体"/>
              <w:b/>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_Toc26746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lang w:val="en-US"/>
            </w:rPr>
            <w:t xml:space="preserve">第一节 </w:t>
          </w:r>
          <w:r>
            <w:rPr>
              <w:rFonts w:hint="eastAsia" w:ascii="宋体" w:hAnsi="宋体" w:eastAsia="宋体" w:cs="宋体"/>
              <w:bCs/>
              <w:sz w:val="30"/>
              <w:szCs w:val="30"/>
              <w:lang w:val="en-US" w:eastAsia="zh-CN"/>
            </w:rPr>
            <w:t xml:space="preserve"> </w:t>
          </w:r>
          <w:r>
            <w:rPr>
              <w:rFonts w:hint="eastAsia" w:ascii="宋体" w:hAnsi="宋体" w:eastAsia="宋体" w:cs="宋体"/>
              <w:bCs/>
              <w:sz w:val="30"/>
              <w:szCs w:val="30"/>
              <w:lang w:val="en-US"/>
            </w:rPr>
            <w:t>矿山地质环境治理工程验收情况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_Toc26746 </w:instrText>
          </w:r>
          <w:r>
            <w:rPr>
              <w:rFonts w:hint="eastAsia" w:ascii="宋体" w:hAnsi="宋体" w:eastAsia="宋体" w:cs="宋体"/>
              <w:sz w:val="30"/>
              <w:szCs w:val="30"/>
            </w:rPr>
            <w:fldChar w:fldCharType="separate"/>
          </w:r>
          <w:r>
            <w:rPr>
              <w:rFonts w:hint="eastAsia" w:ascii="宋体" w:hAnsi="宋体" w:eastAsia="宋体" w:cs="宋体"/>
              <w:sz w:val="30"/>
              <w:szCs w:val="30"/>
            </w:rPr>
            <w:t>45</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2"/>
            <w:tabs>
              <w:tab w:val="right" w:leader="dot" w:pos="9470"/>
            </w:tabs>
            <w:rPr>
              <w:rFonts w:hint="eastAsia" w:ascii="宋体" w:hAnsi="宋体" w:eastAsia="宋体" w:cs="宋体"/>
              <w:sz w:val="30"/>
              <w:szCs w:val="30"/>
            </w:rPr>
          </w:pPr>
          <w:r>
            <w:rPr>
              <w:rFonts w:hint="eastAsia" w:ascii="宋体" w:hAnsi="宋体" w:eastAsia="宋体" w:cs="宋体"/>
              <w:bCs/>
              <w:sz w:val="30"/>
              <w:szCs w:val="30"/>
              <w:lang w:val="en-US"/>
            </w:rPr>
            <w:fldChar w:fldCharType="begin"/>
          </w:r>
          <w:r>
            <w:rPr>
              <w:rFonts w:hint="eastAsia" w:ascii="宋体" w:hAnsi="宋体" w:eastAsia="宋体" w:cs="宋体"/>
              <w:bCs/>
              <w:sz w:val="30"/>
              <w:szCs w:val="30"/>
              <w:lang w:val="en-US"/>
            </w:rPr>
            <w:instrText xml:space="preserve"> HYPERLINK \l _Toc7339 </w:instrText>
          </w:r>
          <w:r>
            <w:rPr>
              <w:rFonts w:hint="eastAsia" w:ascii="宋体" w:hAnsi="宋体" w:eastAsia="宋体" w:cs="宋体"/>
              <w:bCs/>
              <w:sz w:val="30"/>
              <w:szCs w:val="30"/>
              <w:lang w:val="en-US"/>
            </w:rPr>
            <w:fldChar w:fldCharType="separate"/>
          </w:r>
          <w:r>
            <w:rPr>
              <w:rFonts w:hint="eastAsia" w:ascii="宋体" w:hAnsi="宋体" w:eastAsia="宋体" w:cs="宋体"/>
              <w:bCs/>
              <w:sz w:val="30"/>
              <w:szCs w:val="30"/>
              <w:lang w:val="en-US"/>
            </w:rPr>
            <w:t xml:space="preserve">第二节 </w:t>
          </w:r>
          <w:r>
            <w:rPr>
              <w:rFonts w:hint="eastAsia" w:ascii="宋体" w:hAnsi="宋体" w:eastAsia="宋体" w:cs="宋体"/>
              <w:bCs/>
              <w:sz w:val="30"/>
              <w:szCs w:val="30"/>
              <w:lang w:val="en-US" w:eastAsia="zh-CN"/>
            </w:rPr>
            <w:t xml:space="preserve"> 2020</w:t>
          </w:r>
          <w:r>
            <w:rPr>
              <w:rFonts w:hint="eastAsia" w:ascii="宋体" w:hAnsi="宋体" w:eastAsia="宋体" w:cs="宋体"/>
              <w:bCs/>
              <w:sz w:val="30"/>
              <w:szCs w:val="30"/>
              <w:lang w:val="en-US"/>
            </w:rPr>
            <w:t>年度地质环境治理工程完成情况</w:t>
          </w:r>
          <w:r>
            <w:rPr>
              <w:rFonts w:hint="eastAsia" w:ascii="宋体" w:hAnsi="宋体" w:eastAsia="宋体" w:cs="宋体"/>
              <w:sz w:val="30"/>
              <w:szCs w:val="30"/>
            </w:rPr>
            <w:tab/>
          </w:r>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PAGEREF _Toc7339 </w:instrText>
          </w:r>
          <w:r>
            <w:rPr>
              <w:rFonts w:hint="eastAsia" w:ascii="宋体" w:hAnsi="宋体" w:eastAsia="宋体" w:cs="宋体"/>
              <w:sz w:val="30"/>
              <w:szCs w:val="30"/>
            </w:rPr>
            <w:fldChar w:fldCharType="separate"/>
          </w:r>
          <w:r>
            <w:rPr>
              <w:rFonts w:hint="eastAsia" w:ascii="宋体" w:hAnsi="宋体" w:eastAsia="宋体" w:cs="宋体"/>
              <w:sz w:val="30"/>
              <w:szCs w:val="30"/>
            </w:rPr>
            <w:t>45</w:t>
          </w:r>
          <w:r>
            <w:rPr>
              <w:rFonts w:hint="eastAsia" w:ascii="宋体" w:hAnsi="宋体" w:eastAsia="宋体" w:cs="宋体"/>
              <w:sz w:val="30"/>
              <w:szCs w:val="30"/>
            </w:rPr>
            <w:fldChar w:fldCharType="end"/>
          </w:r>
          <w:r>
            <w:rPr>
              <w:rFonts w:hint="eastAsia" w:ascii="宋体" w:hAnsi="宋体" w:eastAsia="宋体" w:cs="宋体"/>
              <w:bCs/>
              <w:sz w:val="30"/>
              <w:szCs w:val="30"/>
              <w:lang w:val="en-US"/>
            </w:rPr>
            <w:fldChar w:fldCharType="end"/>
          </w:r>
        </w:p>
        <w:p>
          <w:pPr>
            <w:pStyle w:val="41"/>
            <w:tabs>
              <w:tab w:val="right" w:leader="dot" w:pos="9470"/>
            </w:tabs>
            <w:rPr>
              <w:rFonts w:hint="eastAsia" w:ascii="宋体" w:hAnsi="宋体" w:eastAsia="宋体" w:cs="宋体"/>
              <w:b/>
              <w:sz w:val="30"/>
              <w:szCs w:val="30"/>
            </w:rPr>
          </w:pP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 HYPERLINK \l _Toc1833 </w:instrText>
          </w:r>
          <w:r>
            <w:rPr>
              <w:rFonts w:hint="eastAsia" w:ascii="宋体" w:hAnsi="宋体" w:eastAsia="宋体" w:cs="宋体"/>
              <w:b/>
              <w:bCs/>
              <w:sz w:val="30"/>
              <w:szCs w:val="30"/>
              <w:lang w:val="en-US"/>
            </w:rPr>
            <w:fldChar w:fldCharType="separate"/>
          </w:r>
          <w:r>
            <w:rPr>
              <w:rFonts w:hint="eastAsia" w:ascii="宋体" w:hAnsi="宋体" w:eastAsia="宋体" w:cs="宋体"/>
              <w:b/>
              <w:bCs/>
              <w:sz w:val="30"/>
              <w:szCs w:val="30"/>
            </w:rPr>
            <w:t>第六章</w:t>
          </w:r>
          <w:r>
            <w:rPr>
              <w:rFonts w:hint="eastAsia" w:ascii="宋体" w:hAnsi="宋体" w:eastAsia="宋体" w:cs="宋体"/>
              <w:b/>
              <w:bCs/>
              <w:sz w:val="30"/>
              <w:szCs w:val="30"/>
              <w:lang w:val="en-US"/>
            </w:rPr>
            <w:t xml:space="preserve"> </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202</w:t>
          </w:r>
          <w:r>
            <w:rPr>
              <w:rFonts w:hint="eastAsia" w:ascii="宋体" w:hAnsi="宋体" w:eastAsia="宋体" w:cs="宋体"/>
              <w:b/>
              <w:bCs/>
              <w:sz w:val="30"/>
              <w:szCs w:val="30"/>
              <w:lang w:val="en-US"/>
            </w:rPr>
            <w:t>1</w:t>
          </w:r>
          <w:r>
            <w:rPr>
              <w:rFonts w:hint="eastAsia" w:ascii="宋体" w:hAnsi="宋体" w:eastAsia="宋体" w:cs="宋体"/>
              <w:b/>
              <w:bCs/>
              <w:sz w:val="30"/>
              <w:szCs w:val="30"/>
            </w:rPr>
            <w:t>年地质环境治理工程拟计划情况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_Toc1833 </w:instrText>
          </w:r>
          <w:r>
            <w:rPr>
              <w:rFonts w:hint="eastAsia" w:ascii="宋体" w:hAnsi="宋体" w:eastAsia="宋体" w:cs="宋体"/>
              <w:b/>
              <w:sz w:val="30"/>
              <w:szCs w:val="30"/>
            </w:rPr>
            <w:fldChar w:fldCharType="separate"/>
          </w:r>
          <w:r>
            <w:rPr>
              <w:rFonts w:hint="eastAsia" w:ascii="宋体" w:hAnsi="宋体" w:eastAsia="宋体" w:cs="宋体"/>
              <w:b/>
              <w:sz w:val="30"/>
              <w:szCs w:val="30"/>
            </w:rPr>
            <w:t>45</w:t>
          </w:r>
          <w:r>
            <w:rPr>
              <w:rFonts w:hint="eastAsia" w:ascii="宋体" w:hAnsi="宋体" w:eastAsia="宋体" w:cs="宋体"/>
              <w:b/>
              <w:sz w:val="30"/>
              <w:szCs w:val="30"/>
            </w:rPr>
            <w:fldChar w:fldCharType="end"/>
          </w:r>
          <w:r>
            <w:rPr>
              <w:rFonts w:hint="eastAsia" w:ascii="宋体" w:hAnsi="宋体" w:eastAsia="宋体" w:cs="宋体"/>
              <w:b/>
              <w:bCs/>
              <w:sz w:val="30"/>
              <w:szCs w:val="30"/>
              <w:lang w:val="en-US"/>
            </w:rPr>
            <w:fldChar w:fldCharType="end"/>
          </w:r>
        </w:p>
        <w:p>
          <w:pPr>
            <w:pStyle w:val="41"/>
            <w:tabs>
              <w:tab w:val="right" w:leader="dot" w:pos="9470"/>
            </w:tabs>
            <w:rPr>
              <w:rFonts w:hint="eastAsia" w:ascii="宋体" w:hAnsi="宋体" w:eastAsia="宋体" w:cs="宋体"/>
              <w:b/>
              <w:sz w:val="30"/>
              <w:szCs w:val="30"/>
            </w:rPr>
          </w:pPr>
          <w:r>
            <w:rPr>
              <w:rFonts w:hint="eastAsia" w:ascii="宋体" w:hAnsi="宋体" w:eastAsia="宋体" w:cs="宋体"/>
              <w:b/>
              <w:bCs/>
              <w:sz w:val="30"/>
              <w:szCs w:val="30"/>
              <w:lang w:val="en-US"/>
            </w:rPr>
            <w:fldChar w:fldCharType="begin"/>
          </w:r>
          <w:r>
            <w:rPr>
              <w:rFonts w:hint="eastAsia" w:ascii="宋体" w:hAnsi="宋体" w:eastAsia="宋体" w:cs="宋体"/>
              <w:b/>
              <w:bCs/>
              <w:sz w:val="30"/>
              <w:szCs w:val="30"/>
              <w:lang w:val="en-US"/>
            </w:rPr>
            <w:instrText xml:space="preserve"> HYPERLINK \l _Toc23280 </w:instrText>
          </w:r>
          <w:r>
            <w:rPr>
              <w:rFonts w:hint="eastAsia" w:ascii="宋体" w:hAnsi="宋体" w:eastAsia="宋体" w:cs="宋体"/>
              <w:b/>
              <w:bCs/>
              <w:sz w:val="30"/>
              <w:szCs w:val="30"/>
              <w:lang w:val="en-US"/>
            </w:rPr>
            <w:fldChar w:fldCharType="separate"/>
          </w:r>
          <w:r>
            <w:rPr>
              <w:rFonts w:hint="eastAsia" w:ascii="宋体" w:hAnsi="宋体" w:eastAsia="宋体" w:cs="宋体"/>
              <w:b/>
              <w:bCs/>
              <w:sz w:val="30"/>
              <w:szCs w:val="30"/>
            </w:rPr>
            <w:t>第七章</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lang w:val="en-US"/>
            </w:rPr>
            <w:t xml:space="preserve"> </w:t>
          </w:r>
          <w:r>
            <w:rPr>
              <w:rFonts w:hint="eastAsia" w:ascii="宋体" w:hAnsi="宋体" w:eastAsia="宋体" w:cs="宋体"/>
              <w:b/>
              <w:bCs/>
              <w:sz w:val="30"/>
              <w:szCs w:val="30"/>
            </w:rPr>
            <w:t>202</w:t>
          </w:r>
          <w:r>
            <w:rPr>
              <w:rFonts w:hint="eastAsia" w:ascii="宋体" w:hAnsi="宋体" w:eastAsia="宋体" w:cs="宋体"/>
              <w:b/>
              <w:bCs/>
              <w:sz w:val="30"/>
              <w:szCs w:val="30"/>
              <w:lang w:val="en-US"/>
            </w:rPr>
            <w:t>1</w:t>
          </w:r>
          <w:r>
            <w:rPr>
              <w:rFonts w:hint="eastAsia" w:ascii="宋体" w:hAnsi="宋体" w:eastAsia="宋体" w:cs="宋体"/>
              <w:b/>
              <w:bCs/>
              <w:sz w:val="30"/>
              <w:szCs w:val="30"/>
            </w:rPr>
            <w:t>年计提矿山地质环境治理基金情况</w:t>
          </w:r>
          <w:r>
            <w:rPr>
              <w:rFonts w:hint="eastAsia" w:ascii="宋体" w:hAnsi="宋体" w:eastAsia="宋体" w:cs="宋体"/>
              <w:b/>
              <w:sz w:val="30"/>
              <w:szCs w:val="30"/>
            </w:rPr>
            <w:tab/>
          </w:r>
          <w:r>
            <w:rPr>
              <w:rFonts w:hint="eastAsia" w:ascii="宋体" w:hAnsi="宋体" w:eastAsia="宋体" w:cs="宋体"/>
              <w:b/>
              <w:sz w:val="30"/>
              <w:szCs w:val="30"/>
            </w:rPr>
            <w:fldChar w:fldCharType="begin"/>
          </w:r>
          <w:r>
            <w:rPr>
              <w:rFonts w:hint="eastAsia" w:ascii="宋体" w:hAnsi="宋体" w:eastAsia="宋体" w:cs="宋体"/>
              <w:b/>
              <w:sz w:val="30"/>
              <w:szCs w:val="30"/>
            </w:rPr>
            <w:instrText xml:space="preserve"> PAGEREF _Toc23280 </w:instrText>
          </w:r>
          <w:r>
            <w:rPr>
              <w:rFonts w:hint="eastAsia" w:ascii="宋体" w:hAnsi="宋体" w:eastAsia="宋体" w:cs="宋体"/>
              <w:b/>
              <w:sz w:val="30"/>
              <w:szCs w:val="30"/>
            </w:rPr>
            <w:fldChar w:fldCharType="separate"/>
          </w:r>
          <w:r>
            <w:rPr>
              <w:rFonts w:hint="eastAsia" w:ascii="宋体" w:hAnsi="宋体" w:eastAsia="宋体" w:cs="宋体"/>
              <w:b/>
              <w:sz w:val="30"/>
              <w:szCs w:val="30"/>
            </w:rPr>
            <w:t>46</w:t>
          </w:r>
          <w:r>
            <w:rPr>
              <w:rFonts w:hint="eastAsia" w:ascii="宋体" w:hAnsi="宋体" w:eastAsia="宋体" w:cs="宋体"/>
              <w:b/>
              <w:sz w:val="30"/>
              <w:szCs w:val="30"/>
            </w:rPr>
            <w:fldChar w:fldCharType="end"/>
          </w:r>
          <w:r>
            <w:rPr>
              <w:rFonts w:hint="eastAsia" w:ascii="宋体" w:hAnsi="宋体" w:eastAsia="宋体" w:cs="宋体"/>
              <w:b/>
              <w:bCs/>
              <w:sz w:val="30"/>
              <w:szCs w:val="30"/>
              <w:lang w:val="en-US"/>
            </w:rPr>
            <w:fldChar w:fldCharType="end"/>
          </w:r>
        </w:p>
        <w:p>
          <w:pPr>
            <w:tabs>
              <w:tab w:val="left" w:leader="middleDot" w:pos="8580"/>
            </w:tabs>
            <w:spacing w:line="560" w:lineRule="exact"/>
            <w:ind w:firstLine="262" w:firstLineChars="87"/>
            <w:rPr>
              <w:rFonts w:hint="eastAsia" w:ascii="宋体" w:hAnsi="宋体" w:eastAsia="宋体" w:cs="宋体"/>
              <w:b/>
              <w:bCs/>
              <w:sz w:val="30"/>
              <w:szCs w:val="30"/>
              <w:lang w:val="en-US"/>
            </w:rPr>
          </w:pPr>
          <w:r>
            <w:rPr>
              <w:rFonts w:hint="eastAsia" w:ascii="宋体" w:hAnsi="宋体" w:eastAsia="宋体" w:cs="宋体"/>
              <w:b/>
              <w:bCs/>
              <w:sz w:val="30"/>
              <w:szCs w:val="30"/>
              <w:lang w:val="en-US"/>
            </w:rPr>
            <w:fldChar w:fldCharType="end"/>
          </w:r>
        </w:p>
      </w:sdtContent>
    </w:sdt>
    <w:p>
      <w:pPr>
        <w:tabs>
          <w:tab w:val="left" w:leader="hyphen" w:pos="9217"/>
        </w:tabs>
        <w:spacing w:before="147" w:line="660" w:lineRule="exact"/>
        <w:rPr>
          <w:rFonts w:hint="eastAsia" w:ascii="宋体" w:hAnsi="宋体" w:eastAsia="宋体" w:cs="宋体"/>
          <w:b/>
          <w:bCs/>
          <w:w w:val="167"/>
          <w:sz w:val="32"/>
          <w:szCs w:val="32"/>
          <w:lang w:val="en-US"/>
        </w:rPr>
      </w:pPr>
    </w:p>
    <w:p>
      <w:pPr>
        <w:pStyle w:val="2"/>
        <w:widowControl/>
        <w:jc w:val="center"/>
        <w:outlineLvl w:val="9"/>
        <w:rPr>
          <w:rFonts w:ascii="宋体" w:hAnsi="宋体" w:eastAsia="宋体" w:cs="宋体"/>
          <w:sz w:val="36"/>
          <w:szCs w:val="36"/>
        </w:rPr>
      </w:pPr>
      <w:bookmarkStart w:id="0" w:name="_Toc25160"/>
      <w:r>
        <w:rPr>
          <w:rFonts w:hint="eastAsia" w:ascii="宋体" w:hAnsi="宋体" w:eastAsia="宋体" w:cs="黑体"/>
          <w:sz w:val="36"/>
          <w:szCs w:val="36"/>
        </w:rPr>
        <w:t>第一章</w:t>
      </w:r>
      <w:r>
        <w:rPr>
          <w:rFonts w:hint="eastAsia" w:ascii="宋体" w:hAnsi="宋体" w:eastAsia="宋体" w:cs="黑体"/>
          <w:sz w:val="36"/>
          <w:szCs w:val="36"/>
        </w:rPr>
        <w:tab/>
      </w:r>
      <w:r>
        <w:rPr>
          <w:rFonts w:hint="eastAsia" w:ascii="宋体" w:hAnsi="宋体" w:eastAsia="宋体" w:cs="黑体"/>
          <w:sz w:val="36"/>
          <w:szCs w:val="36"/>
          <w:lang w:val="en-US" w:eastAsia="zh-CN"/>
        </w:rPr>
        <w:t xml:space="preserve">  </w:t>
      </w:r>
      <w:r>
        <w:rPr>
          <w:rFonts w:hint="eastAsia" w:ascii="宋体" w:hAnsi="宋体" w:eastAsia="宋体" w:cs="黑体"/>
          <w:sz w:val="36"/>
          <w:szCs w:val="36"/>
        </w:rPr>
        <w:t>矿山基本情况</w:t>
      </w:r>
      <w:bookmarkEnd w:id="0"/>
    </w:p>
    <w:p>
      <w:pPr>
        <w:pStyle w:val="3"/>
        <w:widowControl/>
        <w:ind w:left="220" w:leftChars="100" w:right="220" w:rightChars="100" w:firstLine="602" w:firstLineChars="200"/>
        <w:jc w:val="center"/>
        <w:rPr>
          <w:rFonts w:ascii="宋体" w:hAnsi="宋体" w:eastAsia="宋体"/>
          <w:b/>
          <w:bCs/>
          <w:sz w:val="30"/>
        </w:rPr>
      </w:pPr>
      <w:bookmarkStart w:id="1" w:name="_Toc11789"/>
      <w:r>
        <w:rPr>
          <w:rFonts w:hint="eastAsia" w:ascii="宋体" w:hAnsi="宋体" w:eastAsia="宋体" w:cs="黑体"/>
          <w:b/>
          <w:bCs/>
          <w:sz w:val="30"/>
        </w:rPr>
        <w:t>第一节 矿区自然地理</w:t>
      </w:r>
      <w:bookmarkEnd w:id="1"/>
    </w:p>
    <w:p>
      <w:pPr>
        <w:pStyle w:val="5"/>
        <w:widowControl/>
        <w:numPr>
          <w:ilvl w:val="2"/>
          <w:numId w:val="1"/>
        </w:numPr>
        <w:ind w:left="220" w:leftChars="100" w:right="220" w:rightChars="100" w:firstLine="602" w:firstLineChars="200"/>
        <w:rPr>
          <w:rFonts w:hint="default" w:cs="宋体"/>
          <w:sz w:val="30"/>
          <w:szCs w:val="30"/>
        </w:rPr>
      </w:pPr>
      <w:r>
        <w:rPr>
          <w:rFonts w:cs="宋体"/>
          <w:sz w:val="30"/>
          <w:szCs w:val="30"/>
        </w:rPr>
        <w:t>地理位置与交通</w:t>
      </w:r>
    </w:p>
    <w:p>
      <w:pPr>
        <w:pStyle w:val="11"/>
        <w:spacing w:before="7"/>
        <w:ind w:left="220" w:leftChars="100" w:right="220" w:rightChars="100" w:firstLine="600" w:firstLineChars="200"/>
        <w:rPr>
          <w:sz w:val="30"/>
          <w:szCs w:val="30"/>
        </w:rPr>
      </w:pPr>
      <w:r>
        <w:rPr>
          <w:sz w:val="30"/>
          <w:szCs w:val="30"/>
        </w:rPr>
        <w:t>1、地理位置</w:t>
      </w:r>
    </w:p>
    <w:p>
      <w:pPr>
        <w:pStyle w:val="11"/>
        <w:spacing w:before="161" w:line="362" w:lineRule="auto"/>
        <w:ind w:left="220" w:leftChars="100" w:right="220" w:rightChars="100" w:firstLine="580" w:firstLineChars="200"/>
        <w:rPr>
          <w:sz w:val="30"/>
          <w:szCs w:val="30"/>
        </w:rPr>
      </w:pPr>
      <w:r>
        <w:rPr>
          <w:rFonts w:hint="eastAsia"/>
          <w:spacing w:val="-5"/>
          <w:sz w:val="30"/>
          <w:szCs w:val="30"/>
          <w:lang w:val="en-US" w:eastAsia="zh-CN" w:bidi="ar"/>
        </w:rPr>
        <w:t>内蒙古黄河工贸集团滴沥帮煤炭有限公司煤矿</w:t>
      </w:r>
      <w:r>
        <w:rPr>
          <w:rFonts w:hint="eastAsia"/>
          <w:spacing w:val="-5"/>
          <w:sz w:val="30"/>
          <w:szCs w:val="30"/>
          <w:lang w:val="en-US" w:bidi="ar"/>
        </w:rPr>
        <w:t>位于桌子山煤田滴沥帮乌素详查区，行政区划隶属乌</w:t>
      </w:r>
      <w:r>
        <w:rPr>
          <w:rFonts w:hint="eastAsia"/>
          <w:sz w:val="30"/>
          <w:szCs w:val="30"/>
          <w:lang w:val="en-US" w:bidi="ar"/>
        </w:rPr>
        <w:t>海市海南区巴音陶亥镇管辖。地理坐标：</w:t>
      </w:r>
    </w:p>
    <w:p>
      <w:pPr>
        <w:pStyle w:val="11"/>
        <w:adjustRightInd w:val="0"/>
        <w:spacing w:line="620" w:lineRule="exact"/>
        <w:ind w:firstLine="620" w:firstLineChars="200"/>
        <w:jc w:val="both"/>
        <w:rPr>
          <w:spacing w:val="-20"/>
          <w:sz w:val="30"/>
          <w:szCs w:val="30"/>
          <w:lang w:val="en-US" w:bidi="ar"/>
        </w:rPr>
      </w:pPr>
      <w:r>
        <w:rPr>
          <w:rFonts w:hint="eastAsia"/>
          <w:spacing w:val="5"/>
          <w:sz w:val="30"/>
          <w:szCs w:val="30"/>
          <w:lang w:val="en-US" w:bidi="ar"/>
        </w:rPr>
        <w:t xml:space="preserve">东经： </w:t>
      </w:r>
      <w:r>
        <w:rPr>
          <w:rFonts w:hint="eastAsia"/>
          <w:spacing w:val="-20"/>
          <w:sz w:val="30"/>
          <w:szCs w:val="30"/>
          <w:lang w:val="en-US" w:bidi="ar"/>
        </w:rPr>
        <w:t xml:space="preserve">106°56′04″—106°56′33″； </w:t>
      </w:r>
    </w:p>
    <w:p>
      <w:pPr>
        <w:pStyle w:val="11"/>
        <w:adjustRightInd w:val="0"/>
        <w:spacing w:line="620" w:lineRule="exact"/>
        <w:ind w:firstLine="588" w:firstLineChars="200"/>
        <w:jc w:val="both"/>
        <w:rPr>
          <w:spacing w:val="-10"/>
          <w:sz w:val="30"/>
          <w:szCs w:val="30"/>
          <w:lang w:val="en-US" w:bidi="ar"/>
        </w:rPr>
      </w:pPr>
      <w:r>
        <w:rPr>
          <w:rFonts w:hint="eastAsia"/>
          <w:spacing w:val="-3"/>
          <w:sz w:val="30"/>
          <w:szCs w:val="30"/>
          <w:lang w:val="en-US" w:bidi="ar"/>
        </w:rPr>
        <w:t xml:space="preserve">北纬： </w:t>
      </w:r>
      <w:r>
        <w:rPr>
          <w:spacing w:val="-3"/>
          <w:sz w:val="30"/>
          <w:szCs w:val="30"/>
          <w:lang w:val="en-US" w:bidi="ar"/>
        </w:rPr>
        <w:t xml:space="preserve"> </w:t>
      </w:r>
      <w:r>
        <w:rPr>
          <w:rFonts w:hint="eastAsia"/>
          <w:spacing w:val="-20"/>
          <w:sz w:val="30"/>
          <w:szCs w:val="30"/>
          <w:lang w:val="en-US" w:bidi="ar"/>
        </w:rPr>
        <w:t>39°27′00″—39°27′37</w:t>
      </w:r>
      <w:r>
        <w:rPr>
          <w:rFonts w:hint="eastAsia"/>
          <w:spacing w:val="-10"/>
          <w:sz w:val="30"/>
          <w:szCs w:val="30"/>
          <w:lang w:val="en-US" w:bidi="ar"/>
        </w:rPr>
        <w:t>″。</w:t>
      </w:r>
    </w:p>
    <w:p>
      <w:pPr>
        <w:pStyle w:val="11"/>
        <w:spacing w:before="1" w:line="362" w:lineRule="auto"/>
        <w:ind w:left="220" w:leftChars="100" w:right="220" w:rightChars="100" w:firstLine="562" w:firstLineChars="200"/>
        <w:rPr>
          <w:b/>
          <w:sz w:val="30"/>
          <w:szCs w:val="30"/>
        </w:rPr>
      </w:pPr>
      <w:r>
        <w:rPr>
          <w:rFonts w:hint="eastAsia"/>
          <w:b/>
          <w:spacing w:val="-10"/>
          <w:sz w:val="30"/>
          <w:szCs w:val="30"/>
          <w:lang w:val="en-US" w:bidi="ar"/>
        </w:rPr>
        <w:t>2、交通</w:t>
      </w:r>
    </w:p>
    <w:p>
      <w:pPr>
        <w:pStyle w:val="11"/>
        <w:spacing w:before="2" w:line="362" w:lineRule="auto"/>
        <w:ind w:left="220" w:leftChars="100" w:right="220" w:rightChars="100" w:firstLine="600" w:firstLineChars="200"/>
        <w:jc w:val="both"/>
        <w:rPr>
          <w:sz w:val="30"/>
          <w:szCs w:val="30"/>
        </w:rPr>
      </w:pPr>
      <w:r>
        <w:rPr>
          <w:rFonts w:hint="eastAsia"/>
          <w:sz w:val="30"/>
          <w:szCs w:val="30"/>
          <w:lang w:val="en-US" w:bidi="ar"/>
        </w:rPr>
        <w:t>矿区距海南区 6km，距 109 国道 18km，距拉僧仲火车站 7km。包兰铁路、旦拉高速公路及 110 国道从矿区西侧通过。海南区至棋盘井的二级公路从矿区南侧通过，区内交通便利，详见交通位置图。</w:t>
      </w:r>
    </w:p>
    <w:p>
      <w:pPr>
        <w:pStyle w:val="5"/>
        <w:widowControl/>
        <w:numPr>
          <w:ilvl w:val="2"/>
          <w:numId w:val="1"/>
        </w:numPr>
        <w:ind w:left="220" w:leftChars="100" w:right="220" w:rightChars="100" w:firstLine="602" w:firstLineChars="200"/>
        <w:rPr>
          <w:rFonts w:hint="default" w:cs="宋体"/>
          <w:sz w:val="30"/>
          <w:szCs w:val="30"/>
        </w:rPr>
      </w:pPr>
      <w:r>
        <w:rPr>
          <w:rFonts w:cs="宋体"/>
          <w:sz w:val="30"/>
          <w:szCs w:val="30"/>
        </w:rPr>
        <w:t>气象、水文</w:t>
      </w:r>
    </w:p>
    <w:p>
      <w:pPr>
        <w:pStyle w:val="11"/>
        <w:spacing w:line="620" w:lineRule="exact"/>
        <w:ind w:firstLine="600" w:firstLineChars="200"/>
        <w:jc w:val="both"/>
        <w:rPr>
          <w:sz w:val="30"/>
          <w:szCs w:val="30"/>
        </w:rPr>
      </w:pPr>
      <w:r>
        <w:rPr>
          <w:sz w:val="30"/>
          <w:szCs w:val="30"/>
        </w:rPr>
        <w:t>1、气象</w:t>
      </w:r>
    </w:p>
    <w:p>
      <w:pPr>
        <w:pStyle w:val="11"/>
        <w:spacing w:line="620" w:lineRule="exact"/>
        <w:ind w:firstLine="600" w:firstLineChars="200"/>
        <w:jc w:val="both"/>
        <w:rPr>
          <w:sz w:val="30"/>
          <w:szCs w:val="30"/>
        </w:rPr>
      </w:pPr>
      <w:r>
        <w:rPr>
          <w:rFonts w:hint="eastAsia"/>
          <w:sz w:val="30"/>
          <w:szCs w:val="30"/>
          <w:lang w:val="en-US" w:bidi="ar"/>
        </w:rPr>
        <w:t>矿区属大陆性半干旱气候，据乌海气象局资料，最高气温 36.2℃,最低气温-30.4℃。年平均降水量 160mm，降雨量多集中在 7、8、9 三个月，年蒸发量 3132.1mm～ 3919.3mm,平均 3486.1mm。常年以西北风为主，平均风速 3.2m/s，最大风速 24m/s。最大冻土深度 1.24m。</w:t>
      </w:r>
    </w:p>
    <w:p>
      <w:pPr>
        <w:pStyle w:val="5"/>
        <w:widowControl/>
        <w:spacing w:line="620" w:lineRule="exact"/>
        <w:ind w:left="0" w:firstLine="602" w:firstLineChars="200"/>
        <w:jc w:val="both"/>
        <w:rPr>
          <w:rFonts w:hint="default" w:cs="宋体"/>
          <w:sz w:val="30"/>
          <w:szCs w:val="30"/>
        </w:rPr>
      </w:pPr>
      <w:r>
        <w:rPr>
          <w:rFonts w:cs="宋体"/>
          <w:sz w:val="30"/>
          <w:szCs w:val="30"/>
        </w:rPr>
        <w:t>2、水文</w:t>
      </w:r>
    </w:p>
    <w:p>
      <w:pPr>
        <w:pStyle w:val="11"/>
        <w:spacing w:line="620" w:lineRule="exact"/>
        <w:ind w:firstLine="600" w:firstLineChars="200"/>
        <w:jc w:val="both"/>
        <w:rPr>
          <w:sz w:val="30"/>
          <w:szCs w:val="30"/>
        </w:rPr>
      </w:pPr>
      <w:r>
        <w:rPr>
          <w:rFonts w:hint="eastAsia"/>
          <w:sz w:val="30"/>
          <w:szCs w:val="30"/>
          <w:lang w:val="en-US" w:bidi="ar"/>
        </w:rPr>
        <w:t>矿区位于黄河上游，黄河从矿区西侧自南向北从矿区流过，最大流量 5820m</w:t>
      </w:r>
      <w:r>
        <w:rPr>
          <w:sz w:val="30"/>
          <w:szCs w:val="30"/>
          <w:vertAlign w:val="superscript"/>
          <w:lang w:val="en-US" w:bidi="ar"/>
        </w:rPr>
        <w:t>3</w:t>
      </w:r>
      <w:r>
        <w:rPr>
          <w:rFonts w:hint="eastAsia"/>
          <w:sz w:val="30"/>
          <w:szCs w:val="30"/>
          <w:lang w:val="en-US" w:bidi="ar"/>
        </w:rPr>
        <w:t>/s, 最小流量 60.8m</w:t>
      </w:r>
      <w:r>
        <w:rPr>
          <w:sz w:val="30"/>
          <w:szCs w:val="30"/>
          <w:vertAlign w:val="superscript"/>
          <w:lang w:val="en-US" w:bidi="ar"/>
        </w:rPr>
        <w:t>3</w:t>
      </w:r>
      <w:r>
        <w:rPr>
          <w:rFonts w:hint="eastAsia"/>
          <w:sz w:val="30"/>
          <w:szCs w:val="30"/>
          <w:lang w:val="en-US" w:bidi="ar"/>
        </w:rPr>
        <w:t>/s，水位标高 1063～1069m 左右，水深 2.5～11.6m。</w:t>
      </w:r>
    </w:p>
    <w:p>
      <w:pPr>
        <w:pStyle w:val="11"/>
        <w:spacing w:line="620" w:lineRule="exact"/>
        <w:ind w:firstLine="600" w:firstLineChars="200"/>
        <w:jc w:val="both"/>
        <w:rPr>
          <w:sz w:val="30"/>
          <w:szCs w:val="30"/>
          <w:lang w:val="en-US" w:bidi="ar"/>
        </w:rPr>
      </w:pPr>
      <w:r>
        <w:rPr>
          <w:rFonts w:hint="eastAsia"/>
          <w:sz w:val="30"/>
          <w:szCs w:val="30"/>
          <w:lang w:val="en-US" w:bidi="ar"/>
        </w:rPr>
        <w:t>矿区地表水体及沟谷不发育，降水以面流形式由东向西排出区外，汇入区外的黑龙贵沟，最终汇入黄河。</w:t>
      </w:r>
    </w:p>
    <w:p>
      <w:pPr>
        <w:pStyle w:val="5"/>
        <w:widowControl/>
        <w:numPr>
          <w:ilvl w:val="2"/>
          <w:numId w:val="1"/>
        </w:numPr>
        <w:spacing w:before="67"/>
        <w:ind w:left="220" w:leftChars="100" w:right="220" w:rightChars="100" w:firstLine="602" w:firstLineChars="200"/>
        <w:rPr>
          <w:rFonts w:cs="宋体"/>
          <w:sz w:val="30"/>
          <w:szCs w:val="30"/>
        </w:rPr>
      </w:pPr>
      <w:r>
        <w:rPr>
          <w:rFonts w:cs="宋体"/>
          <w:sz w:val="30"/>
          <w:szCs w:val="30"/>
        </w:rPr>
        <w:t>地形地貌</w:t>
      </w:r>
    </w:p>
    <w:p>
      <w:pPr>
        <w:pStyle w:val="5"/>
        <w:widowControl/>
        <w:ind w:left="220" w:leftChars="100" w:right="220" w:rightChars="100" w:firstLine="602" w:firstLineChars="200"/>
        <w:rPr>
          <w:rFonts w:hint="default" w:cs="宋体"/>
          <w:sz w:val="30"/>
          <w:szCs w:val="30"/>
        </w:rPr>
      </w:pPr>
      <w:r>
        <w:rPr>
          <w:rFonts w:cs="宋体"/>
          <w:sz w:val="30"/>
          <w:szCs w:val="30"/>
        </w:rPr>
        <w:t>一、地形</w:t>
      </w:r>
    </w:p>
    <w:p>
      <w:pPr>
        <w:pStyle w:val="11"/>
        <w:spacing w:before="160" w:line="362" w:lineRule="auto"/>
        <w:ind w:left="220" w:leftChars="100" w:right="220" w:rightChars="100" w:firstLine="568" w:firstLineChars="200"/>
        <w:rPr>
          <w:sz w:val="30"/>
          <w:szCs w:val="30"/>
        </w:rPr>
      </w:pPr>
      <w:r>
        <w:rPr>
          <w:rFonts w:hint="eastAsia"/>
          <w:spacing w:val="-8"/>
          <w:sz w:val="30"/>
          <w:szCs w:val="30"/>
          <w:lang w:val="en-US" w:bidi="ar"/>
        </w:rPr>
        <w:t xml:space="preserve">矿区地势相对平坦，东高西低，最高点位于矿区东端，海拔标高 </w:t>
      </w:r>
      <w:r>
        <w:rPr>
          <w:rFonts w:hint="eastAsia"/>
          <w:spacing w:val="-3"/>
          <w:sz w:val="30"/>
          <w:szCs w:val="30"/>
          <w:lang w:val="en-US" w:bidi="ar"/>
        </w:rPr>
        <w:t>1286.86m</w:t>
      </w:r>
      <w:r>
        <w:rPr>
          <w:rFonts w:hint="eastAsia"/>
          <w:spacing w:val="-7"/>
          <w:sz w:val="30"/>
          <w:szCs w:val="30"/>
          <w:lang w:val="en-US" w:bidi="ar"/>
        </w:rPr>
        <w:t>；最低</w:t>
      </w:r>
      <w:r>
        <w:rPr>
          <w:rFonts w:hint="eastAsia"/>
          <w:spacing w:val="-5"/>
          <w:sz w:val="30"/>
          <w:szCs w:val="30"/>
          <w:lang w:val="en-US" w:bidi="ar"/>
        </w:rPr>
        <w:t xml:space="preserve">点位于矿区西南端，海拔标高 </w:t>
      </w:r>
      <w:r>
        <w:rPr>
          <w:rFonts w:hint="eastAsia"/>
          <w:sz w:val="30"/>
          <w:szCs w:val="30"/>
          <w:lang w:val="en-US" w:bidi="ar"/>
        </w:rPr>
        <w:t>1246m,</w:t>
      </w:r>
      <w:r>
        <w:rPr>
          <w:rFonts w:hint="eastAsia"/>
          <w:spacing w:val="-10"/>
          <w:sz w:val="30"/>
          <w:szCs w:val="30"/>
          <w:lang w:val="en-US" w:bidi="ar"/>
        </w:rPr>
        <w:t xml:space="preserve">最大高差为 </w:t>
      </w:r>
      <w:r>
        <w:rPr>
          <w:rFonts w:hint="eastAsia"/>
          <w:sz w:val="30"/>
          <w:szCs w:val="30"/>
          <w:lang w:val="en-US" w:bidi="ar"/>
        </w:rPr>
        <w:t>40.83m。</w:t>
      </w:r>
    </w:p>
    <w:p>
      <w:pPr>
        <w:pStyle w:val="5"/>
        <w:widowControl/>
        <w:spacing w:before="2"/>
        <w:ind w:left="220" w:leftChars="100" w:right="220" w:rightChars="100" w:firstLine="602" w:firstLineChars="200"/>
        <w:rPr>
          <w:rFonts w:hint="default" w:cs="宋体"/>
          <w:sz w:val="30"/>
          <w:szCs w:val="30"/>
        </w:rPr>
      </w:pPr>
      <w:r>
        <w:rPr>
          <w:rFonts w:cs="宋体"/>
          <w:sz w:val="30"/>
          <w:szCs w:val="30"/>
        </w:rPr>
        <w:t>二、地貌</w:t>
      </w:r>
    </w:p>
    <w:p>
      <w:pPr>
        <w:pStyle w:val="11"/>
        <w:spacing w:before="160" w:line="362" w:lineRule="auto"/>
        <w:ind w:left="220" w:leftChars="100" w:right="220" w:rightChars="100" w:firstLine="596" w:firstLineChars="200"/>
        <w:rPr>
          <w:spacing w:val="-1"/>
          <w:sz w:val="30"/>
          <w:szCs w:val="30"/>
          <w:lang w:val="en-US" w:bidi="ar"/>
        </w:rPr>
      </w:pPr>
      <w:r>
        <w:rPr>
          <w:rFonts w:hint="eastAsia"/>
          <w:spacing w:val="-1"/>
          <w:sz w:val="30"/>
          <w:szCs w:val="30"/>
          <w:lang w:val="en-US" w:bidi="ar"/>
        </w:rPr>
        <w:t>根据区内地貌形态特征，矿区主要地貌单元为山前倾斜平原。</w:t>
      </w:r>
    </w:p>
    <w:p>
      <w:pPr>
        <w:pStyle w:val="11"/>
        <w:spacing w:before="160" w:line="362" w:lineRule="auto"/>
        <w:ind w:left="220" w:leftChars="100" w:right="220" w:rightChars="100" w:firstLine="600" w:firstLineChars="200"/>
        <w:rPr>
          <w:sz w:val="21"/>
          <w:szCs w:val="21"/>
          <w:lang w:val="en-US" w:bidi="ar"/>
        </w:rPr>
      </w:pPr>
      <w:r>
        <w:rPr>
          <w:rFonts w:hint="eastAsia"/>
          <w:sz w:val="30"/>
          <w:szCs w:val="30"/>
          <w:lang w:val="en-US" w:bidi="ar"/>
        </w:rPr>
        <w:t>1、山前倾斜平原</w:t>
      </w:r>
      <w:r>
        <w:rPr>
          <w:rFonts w:hint="eastAsia"/>
          <w:spacing w:val="3"/>
          <w:sz w:val="30"/>
          <w:szCs w:val="30"/>
          <w:lang w:val="en-US" w:bidi="ar"/>
        </w:rPr>
        <w:t xml:space="preserve">分布于矿区大部分地区，地貌平坦， </w:t>
      </w:r>
      <w:r>
        <w:rPr>
          <w:rFonts w:hint="eastAsia"/>
          <w:sz w:val="30"/>
          <w:szCs w:val="30"/>
          <w:lang w:val="en-US" w:bidi="ar"/>
        </w:rPr>
        <w:t>天然坡度小，切割不明显</w:t>
      </w:r>
      <w:r>
        <w:rPr>
          <w:rFonts w:hint="eastAsia"/>
          <w:spacing w:val="4"/>
          <w:sz w:val="30"/>
          <w:szCs w:val="30"/>
          <w:lang w:val="en-US" w:bidi="ar"/>
        </w:rPr>
        <w:t>（</w:t>
      </w:r>
      <w:r>
        <w:rPr>
          <w:rFonts w:hint="eastAsia"/>
          <w:sz w:val="30"/>
          <w:szCs w:val="30"/>
          <w:lang w:val="en-US" w:bidi="ar"/>
        </w:rPr>
        <w:t>见照片一</w:t>
      </w:r>
      <w:r>
        <w:rPr>
          <w:rFonts w:hint="eastAsia"/>
          <w:spacing w:val="-118"/>
          <w:sz w:val="30"/>
          <w:szCs w:val="30"/>
          <w:lang w:val="en-US" w:bidi="ar"/>
        </w:rPr>
        <w:t>）</w:t>
      </w:r>
      <w:r>
        <w:rPr>
          <w:rFonts w:hint="eastAsia"/>
          <w:sz w:val="30"/>
          <w:szCs w:val="30"/>
          <w:lang w:val="en-US" w:bidi="ar"/>
        </w:rPr>
        <w:t>。平</w:t>
      </w:r>
      <w:r>
        <w:rPr>
          <w:rFonts w:hint="eastAsia"/>
          <w:spacing w:val="-1"/>
          <w:sz w:val="30"/>
          <w:szCs w:val="30"/>
          <w:lang w:val="en-US" w:bidi="ar"/>
        </w:rPr>
        <w:t>原大部分被第四系覆盖，地表植被不发育。</w:t>
      </w:r>
      <w:r>
        <w:rPr>
          <w:rFonts w:hint="eastAsia"/>
          <w:spacing w:val="8"/>
          <w:sz w:val="30"/>
          <w:szCs w:val="30"/>
          <w:lang w:val="en-US" w:bidi="ar"/>
        </w:rPr>
        <w:t>地层岩性主要为第四系风积砂和二叠系山西组砂岩、砂质泥岩。</w:t>
      </w:r>
    </w:p>
    <w:p>
      <w:pPr>
        <w:jc w:val="center"/>
        <w:rPr>
          <w:sz w:val="21"/>
          <w:szCs w:val="21"/>
          <w:lang w:val="en-US" w:bidi="ar"/>
        </w:rPr>
      </w:pPr>
      <w:r>
        <w:rPr>
          <w:rFonts w:hint="eastAsia"/>
          <w:szCs w:val="24"/>
          <w:lang w:val="en-US" w:bidi="ar-SA"/>
        </w:rPr>
        <w:drawing>
          <wp:anchor distT="0" distB="0" distL="114300" distR="114300" simplePos="0" relativeHeight="251659264" behindDoc="0" locked="0" layoutInCell="1" allowOverlap="1">
            <wp:simplePos x="0" y="0"/>
            <wp:positionH relativeFrom="margin">
              <wp:posOffset>1415415</wp:posOffset>
            </wp:positionH>
            <wp:positionV relativeFrom="margin">
              <wp:posOffset>6681470</wp:posOffset>
            </wp:positionV>
            <wp:extent cx="2877185" cy="1921510"/>
            <wp:effectExtent l="0" t="0" r="18415" b="2540"/>
            <wp:wrapNone/>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7"/>
                    <a:stretch>
                      <a:fillRect/>
                    </a:stretch>
                  </pic:blipFill>
                  <pic:spPr>
                    <a:xfrm>
                      <a:off x="0" y="0"/>
                      <a:ext cx="2877185" cy="1921510"/>
                    </a:xfrm>
                    <a:prstGeom prst="rect">
                      <a:avLst/>
                    </a:prstGeom>
                    <a:noFill/>
                    <a:ln w="9525">
                      <a:noFill/>
                    </a:ln>
                  </pic:spPr>
                </pic:pic>
              </a:graphicData>
            </a:graphic>
          </wp:anchor>
        </w:drawing>
      </w:r>
    </w:p>
    <w:p>
      <w:pPr>
        <w:jc w:val="center"/>
        <w:rPr>
          <w:sz w:val="21"/>
          <w:szCs w:val="21"/>
          <w:lang w:val="en-US" w:bidi="ar"/>
        </w:rPr>
      </w:pPr>
    </w:p>
    <w:p>
      <w:pPr>
        <w:jc w:val="center"/>
        <w:rPr>
          <w:sz w:val="21"/>
          <w:szCs w:val="21"/>
          <w:lang w:val="en-US" w:bidi="ar"/>
        </w:rPr>
      </w:pPr>
    </w:p>
    <w:p>
      <w:pPr>
        <w:jc w:val="center"/>
        <w:rPr>
          <w:sz w:val="21"/>
          <w:szCs w:val="21"/>
          <w:lang w:val="en-US" w:bidi="ar"/>
        </w:rPr>
      </w:pPr>
    </w:p>
    <w:p>
      <w:pPr>
        <w:jc w:val="center"/>
        <w:rPr>
          <w:rFonts w:hint="eastAsia"/>
          <w:sz w:val="21"/>
          <w:szCs w:val="21"/>
          <w:lang w:val="en-US" w:bidi="ar"/>
        </w:rPr>
      </w:pPr>
    </w:p>
    <w:p>
      <w:pPr>
        <w:jc w:val="center"/>
        <w:rPr>
          <w:rFonts w:hint="eastAsia"/>
          <w:sz w:val="21"/>
          <w:szCs w:val="21"/>
          <w:lang w:val="en-US" w:bidi="ar"/>
        </w:rPr>
      </w:pPr>
    </w:p>
    <w:p>
      <w:pPr>
        <w:jc w:val="center"/>
        <w:rPr>
          <w:rFonts w:hint="eastAsia"/>
          <w:sz w:val="21"/>
          <w:szCs w:val="21"/>
          <w:lang w:val="en-US" w:bidi="ar"/>
        </w:rPr>
      </w:pPr>
    </w:p>
    <w:p>
      <w:pPr>
        <w:jc w:val="center"/>
        <w:rPr>
          <w:rFonts w:hint="eastAsia"/>
          <w:sz w:val="21"/>
          <w:szCs w:val="21"/>
          <w:lang w:val="en-US" w:bidi="ar"/>
        </w:rPr>
      </w:pPr>
    </w:p>
    <w:p>
      <w:pPr>
        <w:jc w:val="center"/>
        <w:rPr>
          <w:sz w:val="21"/>
          <w:szCs w:val="21"/>
          <w:lang w:val="en-US" w:bidi="ar"/>
        </w:rPr>
      </w:pPr>
    </w:p>
    <w:p>
      <w:pPr>
        <w:jc w:val="center"/>
        <w:rPr>
          <w:sz w:val="21"/>
          <w:szCs w:val="21"/>
          <w:lang w:val="en-US" w:bidi="ar"/>
        </w:rPr>
      </w:pPr>
    </w:p>
    <w:p>
      <w:pPr>
        <w:jc w:val="center"/>
        <w:rPr>
          <w:sz w:val="21"/>
          <w:szCs w:val="21"/>
        </w:rPr>
      </w:pPr>
      <w:r>
        <w:rPr>
          <w:rFonts w:hint="eastAsia"/>
          <w:sz w:val="21"/>
          <w:szCs w:val="21"/>
          <w:lang w:val="en-US" w:bidi="ar"/>
        </w:rPr>
        <w:t>照片一</w:t>
      </w:r>
      <w:r>
        <w:rPr>
          <w:rFonts w:hint="eastAsia"/>
          <w:sz w:val="21"/>
          <w:szCs w:val="21"/>
          <w:lang w:val="en-US" w:bidi="ar"/>
        </w:rPr>
        <w:tab/>
      </w:r>
      <w:r>
        <w:rPr>
          <w:rFonts w:hint="eastAsia"/>
          <w:sz w:val="21"/>
          <w:szCs w:val="21"/>
          <w:lang w:val="en-US" w:bidi="ar"/>
        </w:rPr>
        <w:t>山前倾斜平原</w:t>
      </w:r>
    </w:p>
    <w:p>
      <w:pPr>
        <w:pStyle w:val="5"/>
        <w:widowControl/>
        <w:numPr>
          <w:ilvl w:val="2"/>
          <w:numId w:val="1"/>
        </w:numPr>
        <w:spacing w:line="620" w:lineRule="exact"/>
        <w:ind w:left="0" w:firstLine="586" w:firstLineChars="200"/>
        <w:jc w:val="both"/>
        <w:rPr>
          <w:rFonts w:hint="default" w:cs="宋体"/>
          <w:sz w:val="30"/>
          <w:szCs w:val="30"/>
        </w:rPr>
      </w:pPr>
      <w:r>
        <w:rPr>
          <w:rFonts w:cs="宋体"/>
          <w:spacing w:val="-4"/>
          <w:sz w:val="30"/>
          <w:szCs w:val="30"/>
        </w:rPr>
        <w:t>土壤、植被</w:t>
      </w:r>
    </w:p>
    <w:p>
      <w:pPr>
        <w:pStyle w:val="5"/>
        <w:widowControl/>
        <w:spacing w:line="620" w:lineRule="exact"/>
        <w:ind w:left="0" w:firstLine="584" w:firstLineChars="200"/>
        <w:jc w:val="both"/>
        <w:rPr>
          <w:rFonts w:hint="default" w:cs="宋体"/>
          <w:b w:val="0"/>
          <w:sz w:val="30"/>
          <w:szCs w:val="30"/>
        </w:rPr>
      </w:pPr>
      <w:r>
        <w:rPr>
          <w:rFonts w:cs="宋体"/>
          <w:b w:val="0"/>
          <w:spacing w:val="-4"/>
          <w:sz w:val="30"/>
          <w:szCs w:val="30"/>
        </w:rPr>
        <w:t xml:space="preserve"> </w:t>
      </w:r>
      <w:r>
        <w:rPr>
          <w:rFonts w:cs="宋体"/>
          <w:b w:val="0"/>
          <w:sz w:val="30"/>
          <w:szCs w:val="30"/>
        </w:rPr>
        <w:t>一、土壤</w:t>
      </w:r>
    </w:p>
    <w:p>
      <w:pPr>
        <w:pStyle w:val="11"/>
        <w:spacing w:line="620" w:lineRule="exact"/>
        <w:ind w:firstLine="567"/>
        <w:jc w:val="both"/>
        <w:rPr>
          <w:sz w:val="30"/>
          <w:szCs w:val="30"/>
          <w:lang w:val="en-US" w:bidi="ar"/>
        </w:rPr>
      </w:pPr>
      <w:r>
        <w:rPr>
          <w:rFonts w:hint="eastAsia"/>
          <w:spacing w:val="-9"/>
          <w:sz w:val="30"/>
          <w:szCs w:val="30"/>
          <w:lang w:val="en-US" w:bidi="ar"/>
        </w:rPr>
        <w:t>矿区土壤为棕钙土，成土母质为石英砂岩、砂质泥页岩，炭质泥页岩等风化后的</w:t>
      </w:r>
      <w:r>
        <w:rPr>
          <w:rFonts w:hint="eastAsia"/>
          <w:sz w:val="30"/>
          <w:szCs w:val="30"/>
          <w:lang w:val="en-US" w:bidi="ar"/>
        </w:rPr>
        <w:t>残坡积物，在低洼处可见风积粉细砂，有机质含量普遍较低，土壤抗蚀力较弱。</w:t>
      </w:r>
    </w:p>
    <w:p>
      <w:pPr>
        <w:pStyle w:val="11"/>
        <w:spacing w:line="620" w:lineRule="exact"/>
        <w:ind w:firstLine="567"/>
        <w:jc w:val="both"/>
        <w:rPr>
          <w:sz w:val="30"/>
          <w:szCs w:val="30"/>
        </w:rPr>
      </w:pPr>
      <w:r>
        <w:rPr>
          <w:sz w:val="30"/>
          <w:szCs w:val="30"/>
        </w:rPr>
        <w:t>二、植被</w:t>
      </w:r>
    </w:p>
    <w:p>
      <w:pPr>
        <w:pStyle w:val="11"/>
        <w:spacing w:line="620" w:lineRule="exact"/>
        <w:ind w:firstLine="567"/>
        <w:jc w:val="both"/>
        <w:rPr>
          <w:sz w:val="30"/>
          <w:szCs w:val="30"/>
          <w:lang w:val="en-US" w:bidi="ar"/>
        </w:rPr>
      </w:pPr>
      <w:r>
        <w:rPr>
          <w:rFonts w:hint="eastAsia"/>
          <w:spacing w:val="-6"/>
          <w:sz w:val="30"/>
          <w:szCs w:val="30"/>
          <w:lang w:val="en-US" w:bidi="ar"/>
        </w:rPr>
        <w:t>矿区属于荒漠草原向草原化荒漠过渡带，生态脆弱，植被类型简单。矿区的主要</w:t>
      </w:r>
      <w:r>
        <w:rPr>
          <w:rFonts w:hint="eastAsia"/>
          <w:spacing w:val="-8"/>
          <w:sz w:val="30"/>
          <w:szCs w:val="30"/>
          <w:lang w:val="en-US" w:bidi="ar"/>
        </w:rPr>
        <w:t>植被类型为荒漠草原、灌木荒漠及草旬植被类型。植物生长呈明显的旱生形态，主要</w:t>
      </w:r>
      <w:r>
        <w:rPr>
          <w:rFonts w:hint="eastAsia"/>
          <w:sz w:val="30"/>
          <w:szCs w:val="30"/>
          <w:lang w:val="en-US" w:bidi="ar"/>
        </w:rPr>
        <w:t>天然植被有狭叶锦鸡儿、霸王、沙冬青、沙蓄、猫头刺等。</w:t>
      </w:r>
    </w:p>
    <w:p>
      <w:pPr>
        <w:pStyle w:val="11"/>
        <w:spacing w:line="620" w:lineRule="exact"/>
        <w:ind w:firstLine="567"/>
        <w:jc w:val="both"/>
        <w:rPr>
          <w:rFonts w:hint="eastAsia"/>
          <w:sz w:val="30"/>
          <w:szCs w:val="30"/>
        </w:rPr>
      </w:pPr>
      <w:r>
        <w:rPr>
          <w:sz w:val="30"/>
          <w:szCs w:val="30"/>
        </w:rPr>
        <w:t>三、矿区土地利用现状</w:t>
      </w:r>
    </w:p>
    <w:p>
      <w:pPr>
        <w:pStyle w:val="11"/>
        <w:spacing w:line="620" w:lineRule="exact"/>
        <w:ind w:firstLine="600" w:firstLineChars="200"/>
        <w:jc w:val="both"/>
        <w:rPr>
          <w:sz w:val="30"/>
          <w:szCs w:val="30"/>
        </w:rPr>
      </w:pPr>
      <w:r>
        <w:rPr>
          <w:rFonts w:hint="eastAsia"/>
          <w:sz w:val="30"/>
          <w:szCs w:val="30"/>
          <w:lang w:val="en-US" w:bidi="ar"/>
        </w:rPr>
        <w:t>矿区一级土地类型为农用地，三级分类为天然草地。</w:t>
      </w:r>
    </w:p>
    <w:p>
      <w:pPr>
        <w:pStyle w:val="3"/>
        <w:widowControl/>
        <w:spacing w:before="58"/>
        <w:ind w:left="220" w:leftChars="100" w:right="220" w:rightChars="100" w:firstLine="200"/>
        <w:jc w:val="center"/>
        <w:rPr>
          <w:rFonts w:ascii="宋体" w:hAnsi="宋体" w:eastAsia="宋体"/>
          <w:b/>
          <w:bCs/>
          <w:sz w:val="30"/>
        </w:rPr>
      </w:pPr>
      <w:bookmarkStart w:id="2" w:name="_Toc7697"/>
      <w:r>
        <w:rPr>
          <w:rFonts w:hint="eastAsia" w:ascii="宋体" w:hAnsi="宋体" w:eastAsia="宋体" w:cs="黑体"/>
          <w:b/>
          <w:bCs/>
          <w:sz w:val="30"/>
        </w:rPr>
        <w:t xml:space="preserve">第二节 </w:t>
      </w:r>
      <w:r>
        <w:rPr>
          <w:rFonts w:hint="eastAsia" w:ascii="宋体" w:hAnsi="宋体" w:eastAsia="宋体" w:cs="黑体"/>
          <w:b/>
          <w:bCs/>
          <w:sz w:val="30"/>
          <w:lang w:val="en-US" w:eastAsia="zh-CN"/>
        </w:rPr>
        <w:t xml:space="preserve">  </w:t>
      </w:r>
      <w:r>
        <w:rPr>
          <w:rFonts w:hint="eastAsia" w:ascii="宋体" w:hAnsi="宋体" w:eastAsia="宋体" w:cs="黑体"/>
          <w:b/>
          <w:bCs/>
          <w:sz w:val="30"/>
        </w:rPr>
        <w:t>矿区地质条件</w:t>
      </w:r>
      <w:bookmarkEnd w:id="2"/>
    </w:p>
    <w:p>
      <w:pPr>
        <w:pStyle w:val="5"/>
        <w:widowControl/>
        <w:numPr>
          <w:ilvl w:val="2"/>
          <w:numId w:val="2"/>
        </w:numPr>
        <w:ind w:left="220" w:leftChars="100" w:right="220" w:rightChars="100" w:firstLine="200"/>
        <w:rPr>
          <w:rFonts w:hint="default" w:cs="宋体"/>
          <w:sz w:val="28"/>
          <w:szCs w:val="30"/>
        </w:rPr>
      </w:pPr>
      <w:r>
        <w:rPr>
          <w:rFonts w:cs="宋体"/>
          <w:sz w:val="28"/>
          <w:szCs w:val="30"/>
        </w:rPr>
        <w:t>地层</w:t>
      </w:r>
    </w:p>
    <w:p>
      <w:pPr>
        <w:pStyle w:val="11"/>
        <w:spacing w:line="620" w:lineRule="exact"/>
        <w:ind w:firstLine="567"/>
        <w:jc w:val="both"/>
        <w:rPr>
          <w:sz w:val="30"/>
          <w:szCs w:val="30"/>
        </w:rPr>
      </w:pPr>
      <w:r>
        <w:rPr>
          <w:rFonts w:hint="eastAsia"/>
          <w:spacing w:val="-2"/>
          <w:sz w:val="30"/>
          <w:szCs w:val="30"/>
          <w:lang w:val="en-US" w:bidi="ar"/>
        </w:rPr>
        <w:t>根据矿区地层出露和钻孔揭露，区内地层由老至新有石炭太原组</w:t>
      </w:r>
      <w:r>
        <w:rPr>
          <w:rFonts w:hint="eastAsia"/>
          <w:sz w:val="30"/>
          <w:szCs w:val="30"/>
          <w:lang w:val="en-US" w:bidi="ar"/>
        </w:rPr>
        <w:t>（C</w:t>
      </w:r>
      <w:r>
        <w:rPr>
          <w:rFonts w:hint="eastAsia"/>
          <w:position w:val="-2"/>
          <w:sz w:val="30"/>
          <w:szCs w:val="30"/>
          <w:lang w:val="en-US" w:bidi="ar"/>
        </w:rPr>
        <w:t>2</w:t>
      </w:r>
      <w:r>
        <w:rPr>
          <w:rFonts w:hint="eastAsia"/>
          <w:sz w:val="30"/>
          <w:szCs w:val="30"/>
          <w:lang w:val="en-US" w:bidi="ar"/>
        </w:rPr>
        <w:t>b</w:t>
      </w:r>
      <w:r>
        <w:rPr>
          <w:rFonts w:hint="eastAsia"/>
          <w:spacing w:val="-120"/>
          <w:sz w:val="30"/>
          <w:szCs w:val="30"/>
          <w:lang w:val="en-US" w:bidi="ar"/>
        </w:rPr>
        <w:t>）</w:t>
      </w:r>
      <w:r>
        <w:rPr>
          <w:rFonts w:hint="eastAsia"/>
          <w:spacing w:val="-3"/>
          <w:sz w:val="30"/>
          <w:szCs w:val="30"/>
          <w:lang w:val="en-US" w:bidi="ar"/>
        </w:rPr>
        <w:t>、太原组</w:t>
      </w:r>
      <w:r>
        <w:rPr>
          <w:rFonts w:hint="eastAsia"/>
          <w:sz w:val="30"/>
          <w:szCs w:val="30"/>
          <w:lang w:val="en-US" w:bidi="ar"/>
        </w:rPr>
        <w:t>（C</w:t>
      </w:r>
      <w:r>
        <w:rPr>
          <w:rFonts w:hint="eastAsia"/>
          <w:position w:val="-2"/>
          <w:sz w:val="30"/>
          <w:szCs w:val="30"/>
          <w:lang w:val="en-US" w:bidi="ar"/>
        </w:rPr>
        <w:t>2</w:t>
      </w:r>
      <w:r>
        <w:rPr>
          <w:rFonts w:hint="eastAsia"/>
          <w:sz w:val="30"/>
          <w:szCs w:val="30"/>
          <w:lang w:val="en-US" w:bidi="ar"/>
        </w:rPr>
        <w:t>t</w:t>
      </w:r>
      <w:r>
        <w:rPr>
          <w:rFonts w:hint="eastAsia"/>
          <w:spacing w:val="-118"/>
          <w:sz w:val="30"/>
          <w:szCs w:val="30"/>
          <w:lang w:val="en-US" w:bidi="ar"/>
        </w:rPr>
        <w:t>）</w:t>
      </w:r>
      <w:r>
        <w:rPr>
          <w:rFonts w:hint="eastAsia"/>
          <w:sz w:val="30"/>
          <w:szCs w:val="30"/>
          <w:lang w:val="en-US" w:bidi="ar"/>
        </w:rPr>
        <w:t>，二叠系山西组（P</w:t>
      </w:r>
      <w:r>
        <w:rPr>
          <w:rFonts w:hint="eastAsia"/>
          <w:position w:val="-2"/>
          <w:sz w:val="30"/>
          <w:szCs w:val="30"/>
          <w:lang w:val="en-US" w:bidi="ar"/>
        </w:rPr>
        <w:t>1</w:t>
      </w:r>
      <w:r>
        <w:rPr>
          <w:rFonts w:hint="eastAsia"/>
          <w:sz w:val="30"/>
          <w:szCs w:val="30"/>
          <w:lang w:val="en-US" w:bidi="ar"/>
        </w:rPr>
        <w:t>s</w:t>
      </w:r>
      <w:r>
        <w:rPr>
          <w:rFonts w:hint="eastAsia"/>
          <w:spacing w:val="-120"/>
          <w:sz w:val="30"/>
          <w:szCs w:val="30"/>
          <w:lang w:val="en-US" w:bidi="ar"/>
        </w:rPr>
        <w:t>）</w:t>
      </w:r>
      <w:r>
        <w:rPr>
          <w:rFonts w:hint="eastAsia"/>
          <w:sz w:val="30"/>
          <w:szCs w:val="30"/>
          <w:lang w:val="en-US" w:bidi="ar"/>
        </w:rPr>
        <w:t>、下盒子组</w:t>
      </w:r>
      <w:r>
        <w:rPr>
          <w:rFonts w:hint="eastAsia"/>
          <w:spacing w:val="2"/>
          <w:sz w:val="30"/>
          <w:szCs w:val="30"/>
          <w:lang w:val="en-US" w:bidi="ar"/>
        </w:rPr>
        <w:t>（</w:t>
      </w:r>
      <w:r>
        <w:rPr>
          <w:rFonts w:hint="eastAsia"/>
          <w:sz w:val="30"/>
          <w:szCs w:val="30"/>
          <w:lang w:val="en-US" w:bidi="ar"/>
        </w:rPr>
        <w:t>P</w:t>
      </w:r>
      <w:r>
        <w:rPr>
          <w:rFonts w:hint="eastAsia"/>
          <w:position w:val="-2"/>
          <w:sz w:val="30"/>
          <w:szCs w:val="30"/>
          <w:lang w:val="en-US" w:bidi="ar"/>
        </w:rPr>
        <w:t>1</w:t>
      </w:r>
      <w:r>
        <w:rPr>
          <w:rFonts w:hint="eastAsia"/>
          <w:sz w:val="30"/>
          <w:szCs w:val="30"/>
          <w:lang w:val="en-US" w:bidi="ar"/>
        </w:rPr>
        <w:t>x</w:t>
      </w:r>
      <w:r>
        <w:rPr>
          <w:rFonts w:hint="eastAsia"/>
          <w:spacing w:val="-120"/>
          <w:sz w:val="30"/>
          <w:szCs w:val="30"/>
          <w:lang w:val="en-US" w:bidi="ar"/>
        </w:rPr>
        <w:t>）</w:t>
      </w:r>
      <w:r>
        <w:rPr>
          <w:rFonts w:hint="eastAsia"/>
          <w:sz w:val="30"/>
          <w:szCs w:val="30"/>
          <w:lang w:val="en-US" w:bidi="ar"/>
        </w:rPr>
        <w:t>、上石盒子组（P</w:t>
      </w:r>
      <w:r>
        <w:rPr>
          <w:rFonts w:hint="eastAsia"/>
          <w:position w:val="-2"/>
          <w:sz w:val="30"/>
          <w:szCs w:val="30"/>
          <w:lang w:val="en-US" w:bidi="ar"/>
        </w:rPr>
        <w:t>2</w:t>
      </w:r>
      <w:r>
        <w:rPr>
          <w:rFonts w:hint="eastAsia"/>
          <w:sz w:val="30"/>
          <w:szCs w:val="30"/>
          <w:lang w:val="en-US" w:bidi="ar"/>
        </w:rPr>
        <w:t>s）和第四系全新统（Q</w:t>
      </w:r>
      <w:r>
        <w:rPr>
          <w:rFonts w:hint="eastAsia"/>
          <w:position w:val="-2"/>
          <w:sz w:val="30"/>
          <w:szCs w:val="30"/>
          <w:lang w:val="en-US" w:bidi="ar"/>
        </w:rPr>
        <w:t>4</w:t>
      </w:r>
      <w:r>
        <w:rPr>
          <w:rFonts w:hint="eastAsia"/>
          <w:spacing w:val="-120"/>
          <w:sz w:val="30"/>
          <w:szCs w:val="30"/>
          <w:lang w:val="en-US" w:bidi="ar"/>
        </w:rPr>
        <w:t>）</w:t>
      </w:r>
      <w:r>
        <w:rPr>
          <w:rFonts w:hint="eastAsia"/>
          <w:sz w:val="30"/>
          <w:szCs w:val="30"/>
          <w:lang w:val="en-US" w:bidi="ar"/>
        </w:rPr>
        <w:t>。分述如下：</w:t>
      </w:r>
    </w:p>
    <w:p>
      <w:pPr>
        <w:pStyle w:val="5"/>
        <w:widowControl/>
        <w:spacing w:before="161"/>
        <w:ind w:left="220" w:leftChars="100" w:right="220" w:rightChars="100" w:firstLine="200"/>
        <w:rPr>
          <w:rFonts w:hint="default" w:cs="宋体"/>
          <w:sz w:val="30"/>
          <w:szCs w:val="30"/>
        </w:rPr>
      </w:pPr>
      <w:r>
        <w:rPr>
          <w:rFonts w:cs="宋体"/>
          <w:sz w:val="30"/>
          <w:szCs w:val="30"/>
        </w:rPr>
        <w:t>一、石炭系下统太原组（C</w:t>
      </w:r>
      <w:r>
        <w:rPr>
          <w:rFonts w:cs="宋体"/>
          <w:position w:val="-2"/>
          <w:sz w:val="30"/>
          <w:szCs w:val="30"/>
        </w:rPr>
        <w:t>1</w:t>
      </w:r>
      <w:r>
        <w:rPr>
          <w:rFonts w:cs="宋体"/>
          <w:sz w:val="30"/>
          <w:szCs w:val="30"/>
        </w:rPr>
        <w:t>b）</w:t>
      </w:r>
    </w:p>
    <w:p>
      <w:pPr>
        <w:pStyle w:val="11"/>
        <w:spacing w:line="620" w:lineRule="exact"/>
        <w:ind w:firstLine="567"/>
        <w:jc w:val="both"/>
        <w:rPr>
          <w:sz w:val="30"/>
          <w:szCs w:val="30"/>
        </w:rPr>
      </w:pPr>
      <w:r>
        <w:rPr>
          <w:rFonts w:hint="eastAsia"/>
          <w:spacing w:val="-4"/>
          <w:sz w:val="30"/>
          <w:szCs w:val="30"/>
          <w:lang w:val="en-US" w:bidi="ar"/>
        </w:rPr>
        <w:t xml:space="preserve">矿区地表未见出露，钻孔揭露厚度 </w:t>
      </w:r>
      <w:r>
        <w:rPr>
          <w:rFonts w:hint="eastAsia"/>
          <w:sz w:val="30"/>
          <w:szCs w:val="30"/>
          <w:lang w:val="en-US" w:bidi="ar"/>
        </w:rPr>
        <w:t>20.44～42.76m</w:t>
      </w:r>
      <w:r>
        <w:rPr>
          <w:rFonts w:hint="eastAsia"/>
          <w:spacing w:val="-13"/>
          <w:sz w:val="30"/>
          <w:szCs w:val="30"/>
          <w:lang w:val="en-US" w:bidi="ar"/>
        </w:rPr>
        <w:t xml:space="preserve">，平均 </w:t>
      </w:r>
      <w:r>
        <w:rPr>
          <w:rFonts w:hint="eastAsia"/>
          <w:sz w:val="30"/>
          <w:szCs w:val="30"/>
          <w:lang w:val="en-US" w:bidi="ar"/>
        </w:rPr>
        <w:t>31.58m</w:t>
      </w:r>
      <w:r>
        <w:rPr>
          <w:rFonts w:hint="eastAsia"/>
          <w:spacing w:val="-3"/>
          <w:sz w:val="30"/>
          <w:szCs w:val="30"/>
          <w:lang w:val="en-US" w:bidi="ar"/>
        </w:rPr>
        <w:t>，岩性由灰白</w:t>
      </w:r>
      <w:r>
        <w:rPr>
          <w:rFonts w:hint="eastAsia"/>
          <w:spacing w:val="-6"/>
          <w:sz w:val="30"/>
          <w:szCs w:val="30"/>
          <w:lang w:val="en-US" w:bidi="ar"/>
        </w:rPr>
        <w:t>色中细粒石英砂岩及薄层深灰色砂质泥岩组成，局部地段底部见褐铁矿，与下覆奥陶</w:t>
      </w:r>
      <w:r>
        <w:rPr>
          <w:rFonts w:hint="eastAsia"/>
          <w:sz w:val="30"/>
          <w:szCs w:val="30"/>
          <w:lang w:val="en-US" w:bidi="ar"/>
        </w:rPr>
        <w:t>系呈平行不整合接触。</w:t>
      </w:r>
    </w:p>
    <w:p>
      <w:pPr>
        <w:pStyle w:val="5"/>
        <w:widowControl/>
        <w:spacing w:line="620" w:lineRule="exact"/>
        <w:ind w:left="0" w:firstLine="567"/>
        <w:jc w:val="both"/>
        <w:rPr>
          <w:rFonts w:hint="default" w:cs="宋体"/>
          <w:sz w:val="30"/>
          <w:szCs w:val="30"/>
        </w:rPr>
      </w:pPr>
      <w:r>
        <w:rPr>
          <w:rFonts w:cs="宋体"/>
          <w:sz w:val="30"/>
          <w:szCs w:val="30"/>
        </w:rPr>
        <w:t>二、石炭系上统太原组(C</w:t>
      </w:r>
      <w:r>
        <w:rPr>
          <w:rFonts w:cs="宋体"/>
          <w:position w:val="-2"/>
          <w:sz w:val="30"/>
          <w:szCs w:val="30"/>
        </w:rPr>
        <w:t>2</w:t>
      </w:r>
      <w:r>
        <w:rPr>
          <w:rFonts w:cs="宋体"/>
          <w:sz w:val="30"/>
          <w:szCs w:val="30"/>
        </w:rPr>
        <w:t>t)</w:t>
      </w:r>
    </w:p>
    <w:p>
      <w:pPr>
        <w:pStyle w:val="11"/>
        <w:spacing w:line="620" w:lineRule="exact"/>
        <w:ind w:firstLine="567"/>
        <w:jc w:val="both"/>
        <w:rPr>
          <w:sz w:val="30"/>
          <w:szCs w:val="30"/>
        </w:rPr>
      </w:pPr>
      <w:r>
        <w:rPr>
          <w:rFonts w:hint="eastAsia"/>
          <w:sz w:val="30"/>
          <w:szCs w:val="30"/>
          <w:lang w:val="en-US" w:bidi="ar"/>
        </w:rPr>
        <w:t>为矿区主要含煤地层之一，地表未见出露。依据岩性组合及沉积旋回特征可分</w:t>
      </w:r>
      <w:r>
        <w:rPr>
          <w:rFonts w:hint="eastAsia"/>
          <w:spacing w:val="-6"/>
          <w:sz w:val="30"/>
          <w:szCs w:val="30"/>
          <w:lang w:val="en-US" w:bidi="ar"/>
        </w:rPr>
        <w:t>为二个岩段。第一岩段</w:t>
      </w:r>
      <w:r>
        <w:rPr>
          <w:rFonts w:hint="eastAsia"/>
          <w:sz w:val="30"/>
          <w:szCs w:val="30"/>
          <w:lang w:val="en-US" w:bidi="ar"/>
        </w:rPr>
        <w:t>（下岩段</w:t>
      </w:r>
      <w:r>
        <w:rPr>
          <w:rFonts w:hint="eastAsia"/>
          <w:spacing w:val="-17"/>
          <w:sz w:val="30"/>
          <w:szCs w:val="30"/>
          <w:lang w:val="en-US" w:bidi="ar"/>
        </w:rPr>
        <w:t>）</w:t>
      </w:r>
      <w:r>
        <w:rPr>
          <w:rFonts w:hint="eastAsia"/>
          <w:spacing w:val="-23"/>
          <w:sz w:val="30"/>
          <w:szCs w:val="30"/>
          <w:lang w:val="en-US" w:bidi="ar"/>
        </w:rPr>
        <w:t xml:space="preserve">厚度 </w:t>
      </w:r>
      <w:r>
        <w:rPr>
          <w:rFonts w:hint="eastAsia"/>
          <w:sz w:val="30"/>
          <w:szCs w:val="30"/>
          <w:lang w:val="en-US" w:bidi="ar"/>
        </w:rPr>
        <w:t>15.51～49.35m</w:t>
      </w:r>
      <w:r>
        <w:rPr>
          <w:rFonts w:hint="eastAsia"/>
          <w:spacing w:val="-17"/>
          <w:sz w:val="30"/>
          <w:szCs w:val="30"/>
          <w:lang w:val="en-US" w:bidi="ar"/>
        </w:rPr>
        <w:t xml:space="preserve">，平均 </w:t>
      </w:r>
      <w:r>
        <w:rPr>
          <w:rFonts w:hint="eastAsia"/>
          <w:spacing w:val="-3"/>
          <w:sz w:val="30"/>
          <w:szCs w:val="30"/>
          <w:lang w:val="en-US" w:bidi="ar"/>
        </w:rPr>
        <w:t>29.50m</w:t>
      </w:r>
      <w:r>
        <w:rPr>
          <w:rFonts w:hint="eastAsia"/>
          <w:spacing w:val="-4"/>
          <w:sz w:val="30"/>
          <w:szCs w:val="30"/>
          <w:lang w:val="en-US" w:bidi="ar"/>
        </w:rPr>
        <w:t>，岩性为深灰色</w:t>
      </w:r>
      <w:r>
        <w:rPr>
          <w:rFonts w:hint="eastAsia"/>
          <w:spacing w:val="-1"/>
          <w:sz w:val="30"/>
          <w:szCs w:val="30"/>
          <w:lang w:val="en-US" w:bidi="ar"/>
        </w:rPr>
        <w:t xml:space="preserve">砂质泥岩、泥岩夹灰白色细粒砂岩、粉砂岩，含 </w:t>
      </w:r>
      <w:r>
        <w:rPr>
          <w:rFonts w:hint="eastAsia"/>
          <w:sz w:val="30"/>
          <w:szCs w:val="30"/>
          <w:lang w:val="en-US" w:bidi="ar"/>
        </w:rPr>
        <w:t>14</w:t>
      </w:r>
      <w:r>
        <w:rPr>
          <w:rFonts w:hint="eastAsia"/>
          <w:position w:val="12"/>
          <w:sz w:val="30"/>
          <w:szCs w:val="30"/>
          <w:lang w:val="en-US" w:bidi="ar"/>
        </w:rPr>
        <w:t>#</w:t>
      </w:r>
      <w:r>
        <w:rPr>
          <w:rFonts w:hint="eastAsia"/>
          <w:sz w:val="30"/>
          <w:szCs w:val="30"/>
          <w:lang w:val="en-US" w:bidi="ar"/>
        </w:rPr>
        <w:t>、15</w:t>
      </w:r>
      <w:r>
        <w:rPr>
          <w:rFonts w:hint="eastAsia"/>
          <w:position w:val="12"/>
          <w:sz w:val="30"/>
          <w:szCs w:val="30"/>
          <w:lang w:val="en-US" w:bidi="ar"/>
        </w:rPr>
        <w:t>#</w:t>
      </w:r>
      <w:r>
        <w:rPr>
          <w:rFonts w:hint="eastAsia"/>
          <w:sz w:val="30"/>
          <w:szCs w:val="30"/>
          <w:lang w:val="en-US" w:bidi="ar"/>
        </w:rPr>
        <w:t>、16</w:t>
      </w:r>
      <w:r>
        <w:rPr>
          <w:rFonts w:hint="eastAsia"/>
          <w:position w:val="12"/>
          <w:sz w:val="30"/>
          <w:szCs w:val="30"/>
          <w:lang w:val="en-US" w:bidi="ar"/>
        </w:rPr>
        <w:t>#</w:t>
      </w:r>
      <w:r>
        <w:rPr>
          <w:rFonts w:hint="eastAsia"/>
          <w:sz w:val="30"/>
          <w:szCs w:val="30"/>
          <w:lang w:val="en-US" w:bidi="ar"/>
        </w:rPr>
        <w:t>、17</w:t>
      </w:r>
      <w:r>
        <w:rPr>
          <w:rFonts w:hint="eastAsia"/>
          <w:position w:val="12"/>
          <w:sz w:val="30"/>
          <w:szCs w:val="30"/>
          <w:lang w:val="en-US" w:bidi="ar"/>
        </w:rPr>
        <w:t>#</w:t>
      </w:r>
      <w:r>
        <w:rPr>
          <w:rFonts w:hint="eastAsia"/>
          <w:sz w:val="30"/>
          <w:szCs w:val="30"/>
          <w:lang w:val="en-US" w:bidi="ar"/>
        </w:rPr>
        <w:t>煤层，称为丙组</w:t>
      </w:r>
      <w:r>
        <w:rPr>
          <w:rFonts w:hint="eastAsia"/>
          <w:spacing w:val="-7"/>
          <w:sz w:val="30"/>
          <w:szCs w:val="30"/>
          <w:lang w:val="en-US" w:bidi="ar"/>
        </w:rPr>
        <w:t>煤组；第二岩段</w:t>
      </w:r>
      <w:r>
        <w:rPr>
          <w:rFonts w:hint="eastAsia"/>
          <w:sz w:val="30"/>
          <w:szCs w:val="30"/>
          <w:lang w:val="en-US" w:bidi="ar"/>
        </w:rPr>
        <w:t>（上岩段</w:t>
      </w:r>
      <w:r>
        <w:rPr>
          <w:rFonts w:hint="eastAsia"/>
          <w:spacing w:val="-20"/>
          <w:sz w:val="30"/>
          <w:szCs w:val="30"/>
          <w:lang w:val="en-US" w:bidi="ar"/>
        </w:rPr>
        <w:t>）</w:t>
      </w:r>
      <w:r>
        <w:rPr>
          <w:rFonts w:hint="eastAsia"/>
          <w:spacing w:val="-22"/>
          <w:sz w:val="30"/>
          <w:szCs w:val="30"/>
          <w:lang w:val="en-US" w:bidi="ar"/>
        </w:rPr>
        <w:t xml:space="preserve">厚度 </w:t>
      </w:r>
      <w:r>
        <w:rPr>
          <w:rFonts w:hint="eastAsia"/>
          <w:sz w:val="30"/>
          <w:szCs w:val="30"/>
          <w:lang w:val="en-US" w:bidi="ar"/>
        </w:rPr>
        <w:t>24.22～46.44m</w:t>
      </w:r>
      <w:r>
        <w:rPr>
          <w:rFonts w:hint="eastAsia"/>
          <w:spacing w:val="-17"/>
          <w:sz w:val="30"/>
          <w:szCs w:val="30"/>
          <w:lang w:val="en-US" w:bidi="ar"/>
        </w:rPr>
        <w:t xml:space="preserve">，平均 </w:t>
      </w:r>
      <w:r>
        <w:rPr>
          <w:rFonts w:hint="eastAsia"/>
          <w:spacing w:val="-3"/>
          <w:sz w:val="30"/>
          <w:szCs w:val="30"/>
          <w:lang w:val="en-US" w:bidi="ar"/>
        </w:rPr>
        <w:t>37.20m，岩性主要为深灰色砂</w:t>
      </w:r>
      <w:r>
        <w:rPr>
          <w:rFonts w:hint="eastAsia"/>
          <w:spacing w:val="-8"/>
          <w:sz w:val="30"/>
          <w:szCs w:val="30"/>
          <w:lang w:val="en-US" w:bidi="ar"/>
        </w:rPr>
        <w:t xml:space="preserve">质泥岩、泥岩夹浅灰色细、粉砂岩，含 </w:t>
      </w:r>
      <w:r>
        <w:rPr>
          <w:rFonts w:hint="eastAsia"/>
          <w:sz w:val="30"/>
          <w:szCs w:val="30"/>
          <w:lang w:val="en-US" w:bidi="ar"/>
        </w:rPr>
        <w:t>12</w:t>
      </w:r>
      <w:r>
        <w:rPr>
          <w:rFonts w:hint="eastAsia"/>
          <w:position w:val="12"/>
          <w:sz w:val="30"/>
          <w:szCs w:val="30"/>
          <w:lang w:val="en-US" w:bidi="ar"/>
        </w:rPr>
        <w:t>#</w:t>
      </w:r>
      <w:r>
        <w:rPr>
          <w:rFonts w:hint="eastAsia"/>
          <w:spacing w:val="-5"/>
          <w:sz w:val="30"/>
          <w:szCs w:val="30"/>
          <w:lang w:val="en-US" w:bidi="ar"/>
        </w:rPr>
        <w:t>、</w:t>
      </w:r>
      <w:r>
        <w:rPr>
          <w:rFonts w:hint="eastAsia"/>
          <w:sz w:val="30"/>
          <w:szCs w:val="30"/>
          <w:lang w:val="en-US" w:bidi="ar"/>
        </w:rPr>
        <w:t>13</w:t>
      </w:r>
      <w:r>
        <w:rPr>
          <w:rFonts w:hint="eastAsia"/>
          <w:position w:val="12"/>
          <w:sz w:val="30"/>
          <w:szCs w:val="30"/>
          <w:lang w:val="en-US" w:bidi="ar"/>
        </w:rPr>
        <w:t>#</w:t>
      </w:r>
      <w:r>
        <w:rPr>
          <w:rFonts w:hint="eastAsia"/>
          <w:spacing w:val="-4"/>
          <w:sz w:val="30"/>
          <w:szCs w:val="30"/>
          <w:lang w:val="en-US" w:bidi="ar"/>
        </w:rPr>
        <w:t>煤层，均为不可采的薄煤层。太原组</w:t>
      </w:r>
      <w:r>
        <w:rPr>
          <w:rFonts w:hint="eastAsia"/>
          <w:spacing w:val="-12"/>
          <w:sz w:val="30"/>
          <w:szCs w:val="30"/>
          <w:lang w:val="en-US" w:bidi="ar"/>
        </w:rPr>
        <w:t xml:space="preserve">地层厚度 </w:t>
      </w:r>
      <w:r>
        <w:rPr>
          <w:rFonts w:hint="eastAsia"/>
          <w:sz w:val="30"/>
          <w:szCs w:val="30"/>
          <w:lang w:val="en-US" w:bidi="ar"/>
        </w:rPr>
        <w:t>39.73～95.79m,</w:t>
      </w:r>
      <w:r>
        <w:rPr>
          <w:rFonts w:hint="eastAsia"/>
          <w:spacing w:val="-10"/>
          <w:sz w:val="30"/>
          <w:szCs w:val="30"/>
          <w:lang w:val="en-US" w:bidi="ar"/>
        </w:rPr>
        <w:t xml:space="preserve">平均厚度为 </w:t>
      </w:r>
      <w:r>
        <w:rPr>
          <w:rFonts w:hint="eastAsia"/>
          <w:sz w:val="30"/>
          <w:szCs w:val="30"/>
          <w:lang w:val="en-US" w:bidi="ar"/>
        </w:rPr>
        <w:t>66.70m，与下覆本溪组呈整合接触。</w:t>
      </w:r>
    </w:p>
    <w:p>
      <w:pPr>
        <w:pStyle w:val="5"/>
        <w:widowControl/>
        <w:spacing w:line="620" w:lineRule="exact"/>
        <w:ind w:left="0" w:firstLine="567"/>
        <w:jc w:val="both"/>
        <w:rPr>
          <w:rFonts w:hint="default" w:cs="宋体"/>
          <w:sz w:val="30"/>
          <w:szCs w:val="30"/>
        </w:rPr>
      </w:pPr>
      <w:r>
        <w:rPr>
          <w:rFonts w:cs="宋体"/>
          <w:sz w:val="30"/>
          <w:szCs w:val="30"/>
        </w:rPr>
        <w:t>三、二叠系下统山西组（P</w:t>
      </w:r>
      <w:r>
        <w:rPr>
          <w:rFonts w:cs="宋体"/>
          <w:position w:val="-2"/>
          <w:sz w:val="30"/>
          <w:szCs w:val="30"/>
        </w:rPr>
        <w:t>1</w:t>
      </w:r>
      <w:r>
        <w:rPr>
          <w:rFonts w:cs="宋体"/>
          <w:sz w:val="30"/>
          <w:szCs w:val="30"/>
        </w:rPr>
        <w:t>s）</w:t>
      </w:r>
    </w:p>
    <w:p>
      <w:pPr>
        <w:pStyle w:val="11"/>
        <w:spacing w:line="620" w:lineRule="exact"/>
        <w:ind w:firstLine="567"/>
        <w:jc w:val="both"/>
        <w:rPr>
          <w:sz w:val="30"/>
          <w:szCs w:val="30"/>
        </w:rPr>
      </w:pPr>
      <w:r>
        <w:rPr>
          <w:rFonts w:hint="eastAsia"/>
          <w:spacing w:val="-3"/>
          <w:sz w:val="30"/>
          <w:szCs w:val="30"/>
          <w:lang w:val="en-US" w:bidi="ar"/>
        </w:rPr>
        <w:t xml:space="preserve">为矿区主要含煤地层之一，矿区东部零星出露。钻孔揭露厚度 </w:t>
      </w:r>
      <w:r>
        <w:rPr>
          <w:sz w:val="30"/>
          <w:szCs w:val="30"/>
          <w:lang w:val="en-US" w:bidi="ar"/>
        </w:rPr>
        <w:t>51.27</w:t>
      </w:r>
      <w:r>
        <w:rPr>
          <w:rFonts w:hint="eastAsia"/>
          <w:sz w:val="30"/>
          <w:szCs w:val="30"/>
          <w:lang w:val="en-US" w:bidi="ar"/>
        </w:rPr>
        <w:t xml:space="preserve">～188.35m， </w:t>
      </w:r>
      <w:r>
        <w:rPr>
          <w:rFonts w:hint="eastAsia"/>
          <w:spacing w:val="-20"/>
          <w:sz w:val="30"/>
          <w:szCs w:val="30"/>
          <w:lang w:val="en-US" w:bidi="ar"/>
        </w:rPr>
        <w:t xml:space="preserve">平均 </w:t>
      </w:r>
      <w:r>
        <w:rPr>
          <w:rFonts w:hint="eastAsia"/>
          <w:sz w:val="30"/>
          <w:szCs w:val="30"/>
          <w:lang w:val="en-US" w:bidi="ar"/>
        </w:rPr>
        <w:t>117.13m</w:t>
      </w:r>
      <w:r>
        <w:rPr>
          <w:rFonts w:hint="eastAsia"/>
          <w:spacing w:val="-5"/>
          <w:sz w:val="30"/>
          <w:szCs w:val="30"/>
          <w:lang w:val="en-US" w:bidi="ar"/>
        </w:rPr>
        <w:t>。上、中部岩性由灰白、灰黑色砂岩、砂质泥岩、泥岩及煤层组成；下</w:t>
      </w:r>
      <w:r>
        <w:rPr>
          <w:rFonts w:hint="eastAsia"/>
          <w:spacing w:val="-8"/>
          <w:sz w:val="30"/>
          <w:szCs w:val="30"/>
          <w:lang w:val="en-US" w:bidi="ar"/>
        </w:rPr>
        <w:t xml:space="preserve">部为灰—灰黑色粘土岩、砂质泥岩及煤层，含 </w:t>
      </w:r>
      <w:r>
        <w:rPr>
          <w:rFonts w:hint="eastAsia"/>
          <w:sz w:val="30"/>
          <w:szCs w:val="30"/>
          <w:lang w:val="en-US" w:bidi="ar"/>
        </w:rPr>
        <w:t>1、2、3、5、8、9、10</w:t>
      </w:r>
      <w:r>
        <w:rPr>
          <w:rFonts w:hint="eastAsia"/>
          <w:spacing w:val="-9"/>
          <w:sz w:val="30"/>
          <w:szCs w:val="30"/>
          <w:lang w:val="en-US" w:bidi="ar"/>
        </w:rPr>
        <w:t xml:space="preserve"> 号煤层。依据岩性组合及沉积旋回特征，将该组划分为四个岩段（P</w:t>
      </w:r>
      <w:r>
        <w:rPr>
          <w:rFonts w:hint="eastAsia"/>
          <w:spacing w:val="-9"/>
          <w:position w:val="-2"/>
          <w:sz w:val="30"/>
          <w:szCs w:val="30"/>
          <w:lang w:val="en-US" w:bidi="ar"/>
        </w:rPr>
        <w:t>1</w:t>
      </w:r>
      <w:r>
        <w:rPr>
          <w:rFonts w:hint="eastAsia"/>
          <w:spacing w:val="-9"/>
          <w:sz w:val="30"/>
          <w:szCs w:val="30"/>
          <w:lang w:val="en-US" w:bidi="ar"/>
        </w:rPr>
        <w:t>s</w:t>
      </w:r>
      <w:r>
        <w:rPr>
          <w:rFonts w:hint="eastAsia"/>
          <w:spacing w:val="-9"/>
          <w:position w:val="12"/>
          <w:sz w:val="30"/>
          <w:szCs w:val="30"/>
          <w:lang w:val="en-US" w:bidi="ar"/>
        </w:rPr>
        <w:t>1</w:t>
      </w:r>
      <w:r>
        <w:rPr>
          <w:rFonts w:hint="eastAsia"/>
          <w:spacing w:val="-9"/>
          <w:sz w:val="30"/>
          <w:szCs w:val="30"/>
          <w:lang w:val="en-US" w:bidi="ar"/>
        </w:rPr>
        <w:t>-- P</w:t>
      </w:r>
      <w:r>
        <w:rPr>
          <w:rFonts w:hint="eastAsia"/>
          <w:spacing w:val="-9"/>
          <w:position w:val="-2"/>
          <w:sz w:val="30"/>
          <w:szCs w:val="30"/>
          <w:lang w:val="en-US" w:bidi="ar"/>
        </w:rPr>
        <w:t>1</w:t>
      </w:r>
      <w:r>
        <w:rPr>
          <w:rFonts w:hint="eastAsia"/>
          <w:spacing w:val="-9"/>
          <w:sz w:val="30"/>
          <w:szCs w:val="30"/>
          <w:lang w:val="en-US" w:bidi="ar"/>
        </w:rPr>
        <w:t>s</w:t>
      </w:r>
      <w:r>
        <w:rPr>
          <w:rFonts w:hint="eastAsia"/>
          <w:spacing w:val="-9"/>
          <w:position w:val="12"/>
          <w:sz w:val="30"/>
          <w:szCs w:val="30"/>
          <w:lang w:val="en-US" w:bidi="ar"/>
        </w:rPr>
        <w:t>4</w:t>
      </w:r>
      <w:r>
        <w:rPr>
          <w:rFonts w:hint="eastAsia"/>
          <w:spacing w:val="-120"/>
          <w:sz w:val="30"/>
          <w:szCs w:val="30"/>
          <w:lang w:val="en-US" w:bidi="ar"/>
        </w:rPr>
        <w:t>）</w:t>
      </w:r>
      <w:r>
        <w:rPr>
          <w:rFonts w:hint="eastAsia"/>
          <w:spacing w:val="-8"/>
          <w:sz w:val="30"/>
          <w:szCs w:val="30"/>
          <w:lang w:val="en-US" w:bidi="ar"/>
        </w:rPr>
        <w:t xml:space="preserve">，其中三岩段含 </w:t>
      </w:r>
      <w:r>
        <w:rPr>
          <w:rFonts w:hint="eastAsia"/>
          <w:sz w:val="30"/>
          <w:szCs w:val="30"/>
          <w:lang w:val="en-US" w:bidi="ar"/>
        </w:rPr>
        <w:t>2、 3</w:t>
      </w:r>
      <w:r>
        <w:rPr>
          <w:rFonts w:hint="eastAsia"/>
          <w:spacing w:val="-11"/>
          <w:sz w:val="30"/>
          <w:szCs w:val="30"/>
          <w:lang w:val="en-US" w:bidi="ar"/>
        </w:rPr>
        <w:t xml:space="preserve"> 号煤层，在桌子山煤田称甲煤组。一岩段含 </w:t>
      </w:r>
      <w:r>
        <w:rPr>
          <w:rFonts w:hint="eastAsia"/>
          <w:sz w:val="30"/>
          <w:szCs w:val="30"/>
          <w:lang w:val="en-US" w:bidi="ar"/>
        </w:rPr>
        <w:t>8</w:t>
      </w:r>
      <w:r>
        <w:rPr>
          <w:rFonts w:hint="eastAsia"/>
          <w:position w:val="12"/>
          <w:sz w:val="30"/>
          <w:szCs w:val="30"/>
          <w:lang w:val="en-US" w:bidi="ar"/>
        </w:rPr>
        <w:t>#</w:t>
      </w:r>
      <w:r>
        <w:rPr>
          <w:rFonts w:hint="eastAsia"/>
          <w:sz w:val="30"/>
          <w:szCs w:val="30"/>
          <w:lang w:val="en-US" w:bidi="ar"/>
        </w:rPr>
        <w:t>、9</w:t>
      </w:r>
      <w:r>
        <w:rPr>
          <w:rFonts w:hint="eastAsia"/>
          <w:position w:val="12"/>
          <w:sz w:val="30"/>
          <w:szCs w:val="30"/>
          <w:lang w:val="en-US" w:bidi="ar"/>
        </w:rPr>
        <w:t>#</w:t>
      </w:r>
      <w:r>
        <w:rPr>
          <w:rFonts w:hint="eastAsia"/>
          <w:sz w:val="30"/>
          <w:szCs w:val="30"/>
          <w:lang w:val="en-US" w:bidi="ar"/>
        </w:rPr>
        <w:t>-1、9</w:t>
      </w:r>
      <w:r>
        <w:rPr>
          <w:rFonts w:hint="eastAsia"/>
          <w:position w:val="12"/>
          <w:sz w:val="30"/>
          <w:szCs w:val="30"/>
          <w:lang w:val="en-US" w:bidi="ar"/>
        </w:rPr>
        <w:t>#</w:t>
      </w:r>
      <w:r>
        <w:rPr>
          <w:rFonts w:hint="eastAsia"/>
          <w:sz w:val="30"/>
          <w:szCs w:val="30"/>
          <w:lang w:val="en-US" w:bidi="ar"/>
        </w:rPr>
        <w:t>-2、10</w:t>
      </w:r>
      <w:r>
        <w:rPr>
          <w:rFonts w:hint="eastAsia"/>
          <w:position w:val="12"/>
          <w:sz w:val="30"/>
          <w:szCs w:val="30"/>
          <w:lang w:val="en-US" w:bidi="ar"/>
        </w:rPr>
        <w:t>#</w:t>
      </w:r>
      <w:r>
        <w:rPr>
          <w:rFonts w:hint="eastAsia"/>
          <w:sz w:val="30"/>
          <w:szCs w:val="30"/>
          <w:lang w:val="en-US" w:bidi="ar"/>
        </w:rPr>
        <w:t>等煤层，称为乙煤组。与下伏太原组呈整合接触。</w:t>
      </w:r>
    </w:p>
    <w:p>
      <w:pPr>
        <w:pStyle w:val="5"/>
        <w:widowControl/>
        <w:spacing w:line="620" w:lineRule="exact"/>
        <w:ind w:left="0" w:firstLine="567"/>
        <w:jc w:val="both"/>
        <w:rPr>
          <w:rFonts w:hint="default" w:cs="宋体"/>
          <w:sz w:val="30"/>
          <w:szCs w:val="30"/>
        </w:rPr>
      </w:pPr>
      <w:r>
        <w:rPr>
          <w:rFonts w:cs="宋体"/>
          <w:sz w:val="30"/>
          <w:szCs w:val="30"/>
        </w:rPr>
        <w:t>四、二叠系下统下石盒子组（P</w:t>
      </w:r>
      <w:r>
        <w:rPr>
          <w:rFonts w:cs="宋体"/>
          <w:position w:val="-2"/>
          <w:sz w:val="30"/>
          <w:szCs w:val="30"/>
        </w:rPr>
        <w:t>1</w:t>
      </w:r>
      <w:r>
        <w:rPr>
          <w:rFonts w:cs="宋体"/>
          <w:sz w:val="30"/>
          <w:szCs w:val="30"/>
        </w:rPr>
        <w:t>x）</w:t>
      </w:r>
    </w:p>
    <w:p>
      <w:pPr>
        <w:pStyle w:val="11"/>
        <w:spacing w:line="620" w:lineRule="exact"/>
        <w:ind w:firstLine="567"/>
        <w:jc w:val="both"/>
        <w:rPr>
          <w:sz w:val="30"/>
          <w:szCs w:val="30"/>
        </w:rPr>
      </w:pPr>
      <w:r>
        <w:rPr>
          <w:rFonts w:hint="eastAsia"/>
          <w:spacing w:val="-7"/>
          <w:sz w:val="30"/>
          <w:szCs w:val="30"/>
          <w:lang w:val="en-US" w:bidi="ar"/>
        </w:rPr>
        <w:t xml:space="preserve">零星出露于矿区南部，厚度 </w:t>
      </w:r>
      <w:r>
        <w:rPr>
          <w:sz w:val="30"/>
          <w:szCs w:val="30"/>
          <w:lang w:val="en-US" w:bidi="ar"/>
        </w:rPr>
        <w:t>69.81</w:t>
      </w:r>
      <w:r>
        <w:rPr>
          <w:rFonts w:hint="eastAsia"/>
          <w:sz w:val="30"/>
          <w:szCs w:val="30"/>
          <w:lang w:val="en-US" w:bidi="ar"/>
        </w:rPr>
        <w:t>～179.45m</w:t>
      </w:r>
      <w:r>
        <w:rPr>
          <w:rFonts w:hint="eastAsia"/>
          <w:spacing w:val="-16"/>
          <w:sz w:val="30"/>
          <w:szCs w:val="30"/>
          <w:lang w:val="en-US" w:bidi="ar"/>
        </w:rPr>
        <w:t xml:space="preserve">，平均 </w:t>
      </w:r>
      <w:r>
        <w:rPr>
          <w:rFonts w:hint="eastAsia"/>
          <w:sz w:val="30"/>
          <w:szCs w:val="30"/>
          <w:lang w:val="en-US" w:bidi="ar"/>
        </w:rPr>
        <w:t>113.21m</w:t>
      </w:r>
      <w:r>
        <w:rPr>
          <w:rFonts w:hint="eastAsia"/>
          <w:spacing w:val="-5"/>
          <w:sz w:val="30"/>
          <w:szCs w:val="30"/>
          <w:lang w:val="en-US" w:bidi="ar"/>
        </w:rPr>
        <w:t>。岩性为灰白色中粗</w:t>
      </w:r>
      <w:r>
        <w:rPr>
          <w:rFonts w:hint="eastAsia"/>
          <w:sz w:val="30"/>
          <w:szCs w:val="30"/>
          <w:lang w:val="en-US" w:bidi="ar"/>
        </w:rPr>
        <w:t>粒砂岩夹少量薄层灰绿色砂质泥岩、粉砂岩。依据岩性特征将该组划分为三个岩段（P</w:t>
      </w:r>
      <w:r>
        <w:rPr>
          <w:rFonts w:hint="eastAsia"/>
          <w:position w:val="-2"/>
          <w:sz w:val="30"/>
          <w:szCs w:val="30"/>
          <w:lang w:val="en-US" w:bidi="ar"/>
        </w:rPr>
        <w:t>1</w:t>
      </w:r>
      <w:r>
        <w:rPr>
          <w:rFonts w:hint="eastAsia"/>
          <w:sz w:val="30"/>
          <w:szCs w:val="30"/>
          <w:lang w:val="en-US" w:bidi="ar"/>
        </w:rPr>
        <w:t>x</w:t>
      </w:r>
      <w:r>
        <w:rPr>
          <w:rFonts w:hint="eastAsia"/>
          <w:position w:val="12"/>
          <w:sz w:val="30"/>
          <w:szCs w:val="30"/>
          <w:lang w:val="en-US" w:bidi="ar"/>
        </w:rPr>
        <w:t>1</w:t>
      </w:r>
      <w:r>
        <w:rPr>
          <w:rFonts w:hint="eastAsia"/>
          <w:sz w:val="30"/>
          <w:szCs w:val="30"/>
          <w:lang w:val="en-US" w:bidi="ar"/>
        </w:rPr>
        <w:t>-- P</w:t>
      </w:r>
      <w:r>
        <w:rPr>
          <w:rFonts w:hint="eastAsia"/>
          <w:position w:val="-2"/>
          <w:sz w:val="30"/>
          <w:szCs w:val="30"/>
          <w:lang w:val="en-US" w:bidi="ar"/>
        </w:rPr>
        <w:t>1</w:t>
      </w:r>
      <w:r>
        <w:rPr>
          <w:rFonts w:hint="eastAsia"/>
          <w:sz w:val="30"/>
          <w:szCs w:val="30"/>
          <w:lang w:val="en-US" w:bidi="ar"/>
        </w:rPr>
        <w:t>x</w:t>
      </w:r>
      <w:r>
        <w:rPr>
          <w:rFonts w:hint="eastAsia"/>
          <w:position w:val="12"/>
          <w:sz w:val="30"/>
          <w:szCs w:val="30"/>
          <w:lang w:val="en-US" w:bidi="ar"/>
        </w:rPr>
        <w:t>3</w:t>
      </w:r>
      <w:r>
        <w:rPr>
          <w:rFonts w:hint="eastAsia"/>
          <w:spacing w:val="-120"/>
          <w:sz w:val="30"/>
          <w:szCs w:val="30"/>
          <w:lang w:val="en-US" w:bidi="ar"/>
        </w:rPr>
        <w:t>）</w:t>
      </w:r>
      <w:r>
        <w:rPr>
          <w:rFonts w:hint="eastAsia"/>
          <w:sz w:val="30"/>
          <w:szCs w:val="30"/>
          <w:lang w:val="en-US" w:bidi="ar"/>
        </w:rPr>
        <w:t xml:space="preserve">，本组不含煤。与下伏山西组呈整合接触。 </w:t>
      </w:r>
    </w:p>
    <w:p>
      <w:pPr>
        <w:pStyle w:val="5"/>
        <w:widowControl/>
        <w:spacing w:line="620" w:lineRule="exact"/>
        <w:ind w:left="0" w:firstLine="567"/>
        <w:jc w:val="both"/>
        <w:rPr>
          <w:rFonts w:hint="default" w:cs="宋体"/>
          <w:sz w:val="30"/>
          <w:szCs w:val="30"/>
        </w:rPr>
      </w:pPr>
      <w:r>
        <w:rPr>
          <w:rFonts w:cs="宋体"/>
          <w:sz w:val="30"/>
          <w:szCs w:val="30"/>
        </w:rPr>
        <w:t>五、二叠系上统上石盒子组（P</w:t>
      </w:r>
      <w:r>
        <w:rPr>
          <w:rFonts w:cs="宋体"/>
          <w:position w:val="-2"/>
          <w:sz w:val="30"/>
          <w:szCs w:val="30"/>
        </w:rPr>
        <w:t>2</w:t>
      </w:r>
      <w:r>
        <w:rPr>
          <w:rFonts w:cs="宋体"/>
          <w:sz w:val="30"/>
          <w:szCs w:val="30"/>
        </w:rPr>
        <w:t>s）</w:t>
      </w:r>
    </w:p>
    <w:p>
      <w:pPr>
        <w:pStyle w:val="11"/>
        <w:spacing w:line="620" w:lineRule="exact"/>
        <w:ind w:firstLine="567"/>
        <w:jc w:val="both"/>
        <w:rPr>
          <w:sz w:val="30"/>
          <w:szCs w:val="30"/>
          <w:lang w:val="en-US" w:bidi="ar"/>
        </w:rPr>
      </w:pPr>
      <w:r>
        <w:rPr>
          <w:rFonts w:hint="eastAsia"/>
          <w:sz w:val="30"/>
          <w:szCs w:val="30"/>
          <w:lang w:val="en-US" w:bidi="ar"/>
        </w:rPr>
        <w:t>矿区中部及北部有出露，岩性为紫红、灰绿色等杂色砂质泥岩、砂质粘土及灰绿—灰白色中粗粒砂岩，与下伏下石盒子组呈整合接触。</w:t>
      </w:r>
    </w:p>
    <w:p>
      <w:pPr>
        <w:spacing w:line="620" w:lineRule="exact"/>
        <w:ind w:firstLine="567"/>
        <w:jc w:val="both"/>
        <w:rPr>
          <w:b/>
          <w:sz w:val="30"/>
          <w:szCs w:val="30"/>
        </w:rPr>
      </w:pPr>
      <w:r>
        <w:rPr>
          <w:rFonts w:hint="eastAsia"/>
          <w:b/>
          <w:sz w:val="30"/>
          <w:szCs w:val="30"/>
          <w:lang w:val="en-US" w:bidi="ar"/>
        </w:rPr>
        <w:t>六、第四系全新统（Q</w:t>
      </w:r>
      <w:r>
        <w:rPr>
          <w:rFonts w:hint="eastAsia"/>
          <w:b/>
          <w:position w:val="-2"/>
          <w:sz w:val="30"/>
          <w:szCs w:val="30"/>
          <w:lang w:val="en-US" w:bidi="ar"/>
        </w:rPr>
        <w:t>4</w:t>
      </w:r>
      <w:r>
        <w:rPr>
          <w:rFonts w:hint="eastAsia"/>
          <w:b/>
          <w:sz w:val="30"/>
          <w:szCs w:val="30"/>
          <w:lang w:val="en-US" w:bidi="ar"/>
        </w:rPr>
        <w:t>）</w:t>
      </w:r>
    </w:p>
    <w:p>
      <w:pPr>
        <w:pStyle w:val="11"/>
        <w:spacing w:line="620" w:lineRule="exact"/>
        <w:ind w:firstLine="567"/>
        <w:jc w:val="both"/>
        <w:rPr>
          <w:sz w:val="30"/>
          <w:szCs w:val="30"/>
        </w:rPr>
      </w:pPr>
      <w:r>
        <w:rPr>
          <w:rFonts w:hint="eastAsia"/>
          <w:spacing w:val="-7"/>
          <w:sz w:val="30"/>
          <w:szCs w:val="30"/>
          <w:lang w:val="en-US" w:bidi="ar"/>
        </w:rPr>
        <w:t>广泛分布于矿区内。岩性为风积砂和残坡积物，由砂土、亚砂土及砾石组成，厚</w:t>
      </w:r>
      <w:r>
        <w:rPr>
          <w:rFonts w:hint="eastAsia"/>
          <w:spacing w:val="-20"/>
          <w:sz w:val="30"/>
          <w:szCs w:val="30"/>
          <w:lang w:val="en-US" w:bidi="ar"/>
        </w:rPr>
        <w:t xml:space="preserve">度为 </w:t>
      </w:r>
      <w:r>
        <w:rPr>
          <w:rFonts w:hint="eastAsia"/>
          <w:sz w:val="30"/>
          <w:szCs w:val="30"/>
          <w:lang w:val="en-US" w:bidi="ar"/>
        </w:rPr>
        <w:t>0.2～18.18m,</w:t>
      </w:r>
      <w:r>
        <w:rPr>
          <w:rFonts w:hint="eastAsia"/>
          <w:spacing w:val="-12"/>
          <w:sz w:val="30"/>
          <w:szCs w:val="30"/>
          <w:lang w:val="en-US" w:bidi="ar"/>
        </w:rPr>
        <w:t xml:space="preserve">一般小于 </w:t>
      </w:r>
      <w:r>
        <w:rPr>
          <w:rFonts w:hint="eastAsia"/>
          <w:sz w:val="30"/>
          <w:szCs w:val="30"/>
          <w:lang w:val="en-US" w:bidi="ar"/>
        </w:rPr>
        <w:t xml:space="preserve">8m。 </w:t>
      </w:r>
      <w:r>
        <w:rPr>
          <w:sz w:val="30"/>
          <w:szCs w:val="30"/>
        </w:rPr>
        <w:t>地质构造</w:t>
      </w:r>
    </w:p>
    <w:p>
      <w:pPr>
        <w:pStyle w:val="11"/>
        <w:spacing w:line="620" w:lineRule="exact"/>
        <w:ind w:firstLine="567"/>
        <w:jc w:val="both"/>
        <w:rPr>
          <w:sz w:val="30"/>
          <w:szCs w:val="30"/>
        </w:rPr>
      </w:pPr>
      <w:r>
        <w:rPr>
          <w:rFonts w:hint="eastAsia"/>
          <w:b/>
          <w:sz w:val="30"/>
          <w:szCs w:val="30"/>
          <w:lang w:val="en-US" w:bidi="ar"/>
        </w:rPr>
        <w:t xml:space="preserve"> </w:t>
      </w:r>
      <w:r>
        <w:rPr>
          <w:sz w:val="30"/>
          <w:szCs w:val="30"/>
        </w:rPr>
        <w:t>一、地质构造</w:t>
      </w:r>
    </w:p>
    <w:p>
      <w:pPr>
        <w:pStyle w:val="11"/>
        <w:spacing w:line="620" w:lineRule="exact"/>
        <w:ind w:firstLine="567"/>
        <w:jc w:val="both"/>
        <w:rPr>
          <w:sz w:val="30"/>
          <w:szCs w:val="30"/>
        </w:rPr>
      </w:pPr>
      <w:r>
        <w:rPr>
          <w:rFonts w:hint="eastAsia"/>
          <w:sz w:val="30"/>
          <w:szCs w:val="30"/>
          <w:lang w:val="en-US" w:bidi="ar"/>
        </w:rPr>
        <w:t>矿区大地构造位于华北地台鄂尔多斯凹陷带西南缘桌子山到贺兰山的褶断束。矿区为一向南西倾斜的单斜构造，地层走向大致为N20°W,倾角 8°～10°。矿区发育有 F10 和 F19 两条断层，各断层具体特征如下：</w:t>
      </w:r>
    </w:p>
    <w:p>
      <w:pPr>
        <w:pStyle w:val="11"/>
        <w:spacing w:line="620" w:lineRule="exact"/>
        <w:ind w:firstLine="567"/>
        <w:jc w:val="both"/>
        <w:rPr>
          <w:sz w:val="30"/>
          <w:szCs w:val="30"/>
        </w:rPr>
      </w:pPr>
      <w:r>
        <w:rPr>
          <w:rFonts w:hint="eastAsia"/>
          <w:sz w:val="30"/>
          <w:szCs w:val="30"/>
          <w:lang w:val="en-US" w:bidi="ar"/>
        </w:rPr>
        <w:t>1</w:t>
      </w:r>
      <w:r>
        <w:rPr>
          <w:rFonts w:hint="eastAsia"/>
          <w:spacing w:val="-46"/>
          <w:sz w:val="30"/>
          <w:szCs w:val="30"/>
          <w:lang w:val="en-US" w:bidi="ar"/>
        </w:rPr>
        <w:t>、</w:t>
      </w:r>
      <w:r>
        <w:rPr>
          <w:rFonts w:hint="eastAsia"/>
          <w:sz w:val="30"/>
          <w:szCs w:val="30"/>
          <w:lang w:val="en-US" w:bidi="ar"/>
        </w:rPr>
        <w:t>F10</w:t>
      </w:r>
      <w:r>
        <w:rPr>
          <w:rFonts w:hint="eastAsia"/>
          <w:spacing w:val="-16"/>
          <w:sz w:val="30"/>
          <w:szCs w:val="30"/>
          <w:lang w:val="en-US" w:bidi="ar"/>
        </w:rPr>
        <w:t xml:space="preserve"> 正断层：位于矿区北侧，走向近 </w:t>
      </w:r>
      <w:r>
        <w:rPr>
          <w:rFonts w:hint="eastAsia"/>
          <w:spacing w:val="-15"/>
          <w:sz w:val="30"/>
          <w:szCs w:val="30"/>
          <w:lang w:val="en-US" w:bidi="ar"/>
        </w:rPr>
        <w:t>EW</w:t>
      </w:r>
      <w:r>
        <w:rPr>
          <w:rFonts w:hint="eastAsia"/>
          <w:spacing w:val="-20"/>
          <w:sz w:val="30"/>
          <w:szCs w:val="30"/>
          <w:lang w:val="en-US" w:bidi="ar"/>
        </w:rPr>
        <w:t xml:space="preserve">，倾角 </w:t>
      </w:r>
      <w:r>
        <w:rPr>
          <w:rFonts w:hint="eastAsia"/>
          <w:spacing w:val="-12"/>
          <w:sz w:val="30"/>
          <w:szCs w:val="30"/>
          <w:lang w:val="en-US" w:bidi="ar"/>
        </w:rPr>
        <w:t>60°</w:t>
      </w:r>
      <w:r>
        <w:rPr>
          <w:rFonts w:hint="eastAsia"/>
          <w:spacing w:val="-18"/>
          <w:sz w:val="30"/>
          <w:szCs w:val="30"/>
          <w:lang w:val="en-US" w:bidi="ar"/>
        </w:rPr>
        <w:t xml:space="preserve">，倾角 </w:t>
      </w:r>
      <w:r>
        <w:rPr>
          <w:rFonts w:hint="eastAsia"/>
          <w:sz w:val="30"/>
          <w:szCs w:val="30"/>
          <w:lang w:val="en-US" w:bidi="ar"/>
        </w:rPr>
        <w:t>N</w:t>
      </w:r>
      <w:r>
        <w:rPr>
          <w:rFonts w:hint="eastAsia"/>
          <w:spacing w:val="-17"/>
          <w:sz w:val="30"/>
          <w:szCs w:val="30"/>
          <w:lang w:val="en-US" w:bidi="ar"/>
        </w:rPr>
        <w:t xml:space="preserve">。落差浅部区 </w:t>
      </w:r>
      <w:r>
        <w:rPr>
          <w:rFonts w:hint="eastAsia"/>
          <w:sz w:val="30"/>
          <w:szCs w:val="30"/>
          <w:lang w:val="en-US" w:bidi="ar"/>
        </w:rPr>
        <w:t>58～70m，深部区为 126m，落差较大，影响矿区煤层开采。</w:t>
      </w:r>
    </w:p>
    <w:p>
      <w:pPr>
        <w:pStyle w:val="11"/>
        <w:spacing w:line="620" w:lineRule="exact"/>
        <w:ind w:firstLine="567"/>
        <w:jc w:val="both"/>
        <w:rPr>
          <w:sz w:val="30"/>
          <w:szCs w:val="30"/>
        </w:rPr>
      </w:pPr>
      <w:r>
        <w:rPr>
          <w:rFonts w:hint="eastAsia"/>
          <w:sz w:val="30"/>
          <w:szCs w:val="30"/>
          <w:lang w:val="en-US" w:bidi="ar"/>
        </w:rPr>
        <w:t>2、F19</w:t>
      </w:r>
      <w:r>
        <w:rPr>
          <w:rFonts w:hint="eastAsia"/>
          <w:spacing w:val="-9"/>
          <w:sz w:val="30"/>
          <w:szCs w:val="30"/>
          <w:lang w:val="en-US" w:bidi="ar"/>
        </w:rPr>
        <w:t xml:space="preserve"> 正断层：为于矿区南部，走向近 </w:t>
      </w:r>
      <w:r>
        <w:rPr>
          <w:rFonts w:hint="eastAsia"/>
          <w:sz w:val="30"/>
          <w:szCs w:val="30"/>
          <w:lang w:val="en-US" w:bidi="ar"/>
        </w:rPr>
        <w:t>EW，</w:t>
      </w:r>
      <w:r>
        <w:rPr>
          <w:rFonts w:hint="eastAsia"/>
          <w:spacing w:val="-16"/>
          <w:sz w:val="30"/>
          <w:szCs w:val="30"/>
          <w:lang w:val="en-US" w:bidi="ar"/>
        </w:rPr>
        <w:t xml:space="preserve">倾向 </w:t>
      </w:r>
      <w:r>
        <w:rPr>
          <w:rFonts w:hint="eastAsia"/>
          <w:sz w:val="30"/>
          <w:szCs w:val="30"/>
          <w:lang w:val="en-US" w:bidi="ar"/>
        </w:rPr>
        <w:t>N，</w:t>
      </w:r>
      <w:r>
        <w:rPr>
          <w:rFonts w:hint="eastAsia"/>
          <w:spacing w:val="-16"/>
          <w:sz w:val="30"/>
          <w:szCs w:val="30"/>
          <w:lang w:val="en-US" w:bidi="ar"/>
        </w:rPr>
        <w:t xml:space="preserve">倾角 </w:t>
      </w:r>
      <w:r>
        <w:rPr>
          <w:rFonts w:hint="eastAsia"/>
          <w:sz w:val="30"/>
          <w:szCs w:val="30"/>
          <w:lang w:val="en-US" w:bidi="ar"/>
        </w:rPr>
        <w:t>70°，</w:t>
      </w:r>
      <w:r>
        <w:rPr>
          <w:rFonts w:hint="eastAsia"/>
          <w:spacing w:val="-16"/>
          <w:sz w:val="30"/>
          <w:szCs w:val="30"/>
          <w:lang w:val="en-US" w:bidi="ar"/>
        </w:rPr>
        <w:t xml:space="preserve">长度 </w:t>
      </w:r>
      <w:r>
        <w:rPr>
          <w:rFonts w:hint="eastAsia"/>
          <w:sz w:val="30"/>
          <w:szCs w:val="30"/>
          <w:lang w:val="en-US" w:bidi="ar"/>
        </w:rPr>
        <w:t>5km。落</w:t>
      </w:r>
      <w:r>
        <w:rPr>
          <w:rFonts w:hint="eastAsia"/>
          <w:spacing w:val="-12"/>
          <w:sz w:val="30"/>
          <w:szCs w:val="30"/>
          <w:lang w:val="en-US" w:bidi="ar"/>
        </w:rPr>
        <w:t xml:space="preserve">差浅部区 </w:t>
      </w:r>
      <w:r>
        <w:rPr>
          <w:rFonts w:hint="eastAsia"/>
          <w:sz w:val="30"/>
          <w:szCs w:val="30"/>
          <w:lang w:val="en-US" w:bidi="ar"/>
        </w:rPr>
        <w:t>67m，</w:t>
      </w:r>
      <w:r>
        <w:rPr>
          <w:rFonts w:hint="eastAsia"/>
          <w:spacing w:val="-15"/>
          <w:sz w:val="30"/>
          <w:szCs w:val="30"/>
          <w:lang w:val="en-US" w:bidi="ar"/>
        </w:rPr>
        <w:t xml:space="preserve">深部区 </w:t>
      </w:r>
      <w:r>
        <w:rPr>
          <w:rFonts w:hint="eastAsia"/>
          <w:sz w:val="30"/>
          <w:szCs w:val="30"/>
          <w:lang w:val="en-US" w:bidi="ar"/>
        </w:rPr>
        <w:t>20m。</w:t>
      </w:r>
    </w:p>
    <w:p>
      <w:pPr>
        <w:pStyle w:val="5"/>
        <w:widowControl/>
        <w:spacing w:line="620" w:lineRule="exact"/>
        <w:ind w:left="0" w:firstLine="567"/>
        <w:jc w:val="both"/>
        <w:rPr>
          <w:rFonts w:hint="default" w:cs="宋体"/>
          <w:sz w:val="30"/>
          <w:szCs w:val="30"/>
        </w:rPr>
      </w:pPr>
      <w:r>
        <w:rPr>
          <w:rFonts w:cs="宋体"/>
          <w:sz w:val="30"/>
          <w:szCs w:val="30"/>
        </w:rPr>
        <w:t>二、区域地壳稳定性</w:t>
      </w:r>
    </w:p>
    <w:p>
      <w:pPr>
        <w:pStyle w:val="11"/>
        <w:spacing w:line="620" w:lineRule="exact"/>
        <w:ind w:firstLine="567"/>
        <w:jc w:val="both"/>
        <w:rPr>
          <w:sz w:val="30"/>
          <w:szCs w:val="30"/>
        </w:rPr>
      </w:pPr>
      <w:r>
        <w:rPr>
          <w:rFonts w:hint="eastAsia"/>
          <w:spacing w:val="-9"/>
          <w:sz w:val="30"/>
          <w:szCs w:val="30"/>
          <w:lang w:val="en-US" w:bidi="ar"/>
        </w:rPr>
        <w:t>新构造运动以来，区域地壳以整体间歇式升降运动为主。乌海市近年来虽有地震</w:t>
      </w:r>
      <w:r>
        <w:rPr>
          <w:rFonts w:hint="eastAsia"/>
          <w:sz w:val="30"/>
          <w:szCs w:val="30"/>
          <w:lang w:val="en-US" w:bidi="ar"/>
        </w:rPr>
        <w:t>发生，但频率较低，震级不大，属强震预测区，说明区域地壳处于不稳定状态。</w:t>
      </w:r>
    </w:p>
    <w:p>
      <w:pPr>
        <w:pStyle w:val="11"/>
        <w:spacing w:line="620" w:lineRule="exact"/>
        <w:ind w:firstLine="567"/>
        <w:jc w:val="both"/>
        <w:rPr>
          <w:sz w:val="30"/>
          <w:szCs w:val="30"/>
        </w:rPr>
      </w:pPr>
      <w:r>
        <w:rPr>
          <w:rFonts w:hint="eastAsia"/>
          <w:spacing w:val="-11"/>
          <w:sz w:val="30"/>
          <w:szCs w:val="30"/>
          <w:lang w:val="en-US" w:bidi="ar"/>
        </w:rPr>
        <w:t>根据《中国地震动峰值加速度区划图》</w:t>
      </w:r>
      <w:r>
        <w:rPr>
          <w:rFonts w:hint="eastAsia"/>
          <w:spacing w:val="-3"/>
          <w:sz w:val="30"/>
          <w:szCs w:val="30"/>
          <w:lang w:val="en-US" w:bidi="ar"/>
        </w:rPr>
        <w:t>（</w:t>
      </w:r>
      <w:r>
        <w:rPr>
          <w:rFonts w:hint="eastAsia"/>
          <w:spacing w:val="-10"/>
          <w:sz w:val="30"/>
          <w:szCs w:val="30"/>
          <w:lang w:val="en-US" w:bidi="ar"/>
        </w:rPr>
        <w:t xml:space="preserve">国家地震局 </w:t>
      </w:r>
      <w:r>
        <w:rPr>
          <w:rFonts w:hint="eastAsia"/>
          <w:sz w:val="30"/>
          <w:szCs w:val="30"/>
          <w:lang w:val="en-US" w:bidi="ar"/>
        </w:rPr>
        <w:t>2001</w:t>
      </w:r>
      <w:r>
        <w:rPr>
          <w:rFonts w:hint="eastAsia"/>
          <w:spacing w:val="-17"/>
          <w:sz w:val="30"/>
          <w:szCs w:val="30"/>
          <w:lang w:val="en-US" w:bidi="ar"/>
        </w:rPr>
        <w:t xml:space="preserve"> 年版，</w:t>
      </w:r>
      <w:r>
        <w:rPr>
          <w:rFonts w:hint="eastAsia"/>
          <w:sz w:val="30"/>
          <w:szCs w:val="30"/>
          <w:lang w:val="en-US" w:bidi="ar"/>
        </w:rPr>
        <w:t>1</w:t>
      </w:r>
      <w:r>
        <w:rPr>
          <w:rFonts w:hint="eastAsia"/>
          <w:spacing w:val="-8"/>
          <w:sz w:val="30"/>
          <w:szCs w:val="30"/>
          <w:lang w:val="en-US" w:bidi="ar"/>
        </w:rPr>
        <w:t>：</w:t>
      </w:r>
      <w:r>
        <w:rPr>
          <w:rFonts w:hint="eastAsia"/>
          <w:sz w:val="30"/>
          <w:szCs w:val="30"/>
          <w:lang w:val="en-US" w:bidi="ar"/>
        </w:rPr>
        <w:t>400</w:t>
      </w:r>
      <w:r>
        <w:rPr>
          <w:rFonts w:hint="eastAsia"/>
          <w:spacing w:val="-30"/>
          <w:sz w:val="30"/>
          <w:szCs w:val="30"/>
          <w:lang w:val="en-US" w:bidi="ar"/>
        </w:rPr>
        <w:t xml:space="preserve"> 万</w:t>
      </w:r>
      <w:r>
        <w:rPr>
          <w:rFonts w:hint="eastAsia"/>
          <w:spacing w:val="-120"/>
          <w:sz w:val="30"/>
          <w:szCs w:val="30"/>
          <w:lang w:val="en-US" w:bidi="ar"/>
        </w:rPr>
        <w:t>）</w:t>
      </w:r>
      <w:r>
        <w:rPr>
          <w:rFonts w:hint="eastAsia"/>
          <w:spacing w:val="-9"/>
          <w:sz w:val="30"/>
          <w:szCs w:val="30"/>
          <w:lang w:val="en-US" w:bidi="ar"/>
        </w:rPr>
        <w:t>，矿</w:t>
      </w:r>
      <w:r>
        <w:rPr>
          <w:rFonts w:hint="eastAsia"/>
          <w:spacing w:val="-6"/>
          <w:sz w:val="30"/>
          <w:szCs w:val="30"/>
          <w:lang w:val="en-US" w:bidi="ar"/>
        </w:rPr>
        <w:t xml:space="preserve">区地震动峰值加速度为 </w:t>
      </w:r>
      <w:r>
        <w:rPr>
          <w:rFonts w:hint="eastAsia"/>
          <w:sz w:val="30"/>
          <w:szCs w:val="30"/>
          <w:lang w:val="en-US" w:bidi="ar"/>
        </w:rPr>
        <w:t>0.20g，</w:t>
      </w:r>
      <w:r>
        <w:rPr>
          <w:rFonts w:hint="eastAsia"/>
          <w:spacing w:val="-5"/>
          <w:sz w:val="30"/>
          <w:szCs w:val="30"/>
          <w:lang w:val="en-US" w:bidi="ar"/>
        </w:rPr>
        <w:t xml:space="preserve">对照地震基本设防烈度为 </w:t>
      </w:r>
      <w:r>
        <w:rPr>
          <w:rFonts w:hint="eastAsia"/>
          <w:sz w:val="30"/>
          <w:szCs w:val="30"/>
          <w:lang w:val="en-US" w:bidi="ar"/>
        </w:rPr>
        <w:t>8</w:t>
      </w:r>
      <w:r>
        <w:rPr>
          <w:rFonts w:hint="eastAsia"/>
          <w:spacing w:val="-20"/>
          <w:sz w:val="30"/>
          <w:szCs w:val="30"/>
          <w:lang w:val="en-US" w:bidi="ar"/>
        </w:rPr>
        <w:t xml:space="preserve"> 度。</w:t>
      </w:r>
      <w:r>
        <w:rPr>
          <w:rFonts w:hint="eastAsia"/>
          <w:sz w:val="30"/>
          <w:szCs w:val="30"/>
          <w:lang w:val="en-US" w:bidi="ar"/>
        </w:rPr>
        <w:t xml:space="preserve"> </w:t>
      </w:r>
    </w:p>
    <w:p>
      <w:pPr>
        <w:pStyle w:val="5"/>
        <w:widowControl/>
        <w:numPr>
          <w:ilvl w:val="2"/>
          <w:numId w:val="2"/>
        </w:numPr>
        <w:spacing w:line="620" w:lineRule="exact"/>
        <w:ind w:left="0" w:firstLine="567"/>
        <w:jc w:val="both"/>
        <w:rPr>
          <w:rFonts w:hint="default" w:cs="宋体"/>
          <w:sz w:val="30"/>
          <w:szCs w:val="30"/>
        </w:rPr>
      </w:pPr>
      <w:r>
        <w:rPr>
          <w:rFonts w:cs="宋体"/>
          <w:sz w:val="30"/>
          <w:szCs w:val="30"/>
        </w:rPr>
        <w:t>水文地质条件</w:t>
      </w:r>
    </w:p>
    <w:p>
      <w:pPr>
        <w:pStyle w:val="11"/>
        <w:spacing w:line="620" w:lineRule="exact"/>
        <w:ind w:firstLine="567"/>
        <w:jc w:val="both"/>
        <w:rPr>
          <w:sz w:val="30"/>
          <w:szCs w:val="30"/>
        </w:rPr>
      </w:pPr>
      <w:r>
        <w:rPr>
          <w:rFonts w:hint="eastAsia"/>
          <w:b/>
          <w:sz w:val="30"/>
          <w:szCs w:val="30"/>
          <w:lang w:val="en-US" w:bidi="ar"/>
        </w:rPr>
        <w:t xml:space="preserve"> </w:t>
      </w:r>
      <w:r>
        <w:rPr>
          <w:sz w:val="30"/>
          <w:szCs w:val="30"/>
        </w:rPr>
        <w:t>一、矿区水文地质条件</w:t>
      </w:r>
    </w:p>
    <w:p>
      <w:pPr>
        <w:pStyle w:val="11"/>
        <w:spacing w:line="620" w:lineRule="exact"/>
        <w:ind w:firstLine="567"/>
        <w:jc w:val="both"/>
        <w:rPr>
          <w:sz w:val="30"/>
          <w:szCs w:val="30"/>
        </w:rPr>
      </w:pPr>
      <w:r>
        <w:rPr>
          <w:rFonts w:hint="eastAsia"/>
          <w:spacing w:val="-7"/>
          <w:sz w:val="30"/>
          <w:szCs w:val="30"/>
          <w:lang w:val="en-US" w:bidi="ar"/>
        </w:rPr>
        <w:t>依据含水介质及赋存条件，矿区地下水主要类型确定为基岩裂隙水。第四系风积</w:t>
      </w:r>
      <w:r>
        <w:rPr>
          <w:rFonts w:hint="eastAsia"/>
          <w:sz w:val="30"/>
          <w:szCs w:val="30"/>
          <w:lang w:val="en-US" w:bidi="ar"/>
        </w:rPr>
        <w:t>砂及残坡积物为透水不含水层。</w:t>
      </w:r>
    </w:p>
    <w:p>
      <w:pPr>
        <w:pStyle w:val="11"/>
        <w:spacing w:line="620" w:lineRule="exact"/>
        <w:ind w:firstLine="567"/>
        <w:jc w:val="both"/>
        <w:rPr>
          <w:sz w:val="30"/>
          <w:szCs w:val="30"/>
        </w:rPr>
      </w:pPr>
      <w:r>
        <w:rPr>
          <w:rFonts w:hint="eastAsia"/>
          <w:spacing w:val="-1"/>
          <w:sz w:val="30"/>
          <w:szCs w:val="30"/>
          <w:lang w:val="en-US" w:bidi="ar"/>
        </w:rPr>
        <w:t xml:space="preserve">矿区基岩裂隙水可划分以下五个含水带： </w:t>
      </w:r>
      <w:r>
        <w:rPr>
          <w:rFonts w:hint="eastAsia"/>
          <w:sz w:val="30"/>
          <w:szCs w:val="30"/>
          <w:lang w:val="en-US" w:bidi="ar"/>
        </w:rPr>
        <w:t>1、第Ⅰ含水带（P</w:t>
      </w:r>
      <w:r>
        <w:rPr>
          <w:rFonts w:hint="eastAsia"/>
          <w:position w:val="-3"/>
          <w:sz w:val="30"/>
          <w:szCs w:val="30"/>
          <w:lang w:val="en-US" w:bidi="ar"/>
        </w:rPr>
        <w:t>1</w:t>
      </w:r>
      <w:r>
        <w:rPr>
          <w:rFonts w:hint="eastAsia"/>
          <w:sz w:val="30"/>
          <w:szCs w:val="30"/>
          <w:lang w:val="en-US" w:bidi="ar"/>
        </w:rPr>
        <w:t>x—P</w:t>
      </w:r>
      <w:r>
        <w:rPr>
          <w:rFonts w:hint="eastAsia"/>
          <w:position w:val="-3"/>
          <w:sz w:val="30"/>
          <w:szCs w:val="30"/>
          <w:lang w:val="en-US" w:bidi="ar"/>
        </w:rPr>
        <w:t>1</w:t>
      </w:r>
      <w:r>
        <w:rPr>
          <w:rFonts w:hint="eastAsia"/>
          <w:sz w:val="30"/>
          <w:szCs w:val="30"/>
          <w:lang w:val="en-US" w:bidi="ar"/>
        </w:rPr>
        <w:t xml:space="preserve">s）含水层岩性主要为灰白色粗砂岩，灰绿色、灰紫色砂质泥岩，含水层厚度 144m。 </w:t>
      </w:r>
    </w:p>
    <w:p>
      <w:pPr>
        <w:pStyle w:val="11"/>
        <w:spacing w:line="620" w:lineRule="exact"/>
        <w:ind w:firstLine="567"/>
        <w:jc w:val="both"/>
        <w:rPr>
          <w:sz w:val="30"/>
          <w:szCs w:val="30"/>
        </w:rPr>
      </w:pPr>
      <w:r>
        <w:rPr>
          <w:rFonts w:hint="eastAsia"/>
          <w:spacing w:val="-4"/>
          <w:sz w:val="30"/>
          <w:szCs w:val="30"/>
          <w:lang w:val="en-US" w:bidi="ar"/>
        </w:rPr>
        <w:t xml:space="preserve">据钻孔抽水试验资料，单位涌水量为 </w:t>
      </w:r>
      <w:r>
        <w:rPr>
          <w:rFonts w:hint="eastAsia"/>
          <w:sz w:val="30"/>
          <w:szCs w:val="30"/>
          <w:lang w:val="en-US" w:bidi="ar"/>
        </w:rPr>
        <w:t>0.00129l/s.m</w:t>
      </w:r>
      <w:r>
        <w:rPr>
          <w:rFonts w:hint="eastAsia"/>
          <w:spacing w:val="-9"/>
          <w:sz w:val="30"/>
          <w:szCs w:val="30"/>
          <w:lang w:val="en-US" w:bidi="ar"/>
        </w:rPr>
        <w:t xml:space="preserve">，渗透系数 </w:t>
      </w:r>
      <w:r>
        <w:rPr>
          <w:rFonts w:hint="eastAsia"/>
          <w:sz w:val="30"/>
          <w:szCs w:val="30"/>
          <w:lang w:val="en-US" w:bidi="ar"/>
        </w:rPr>
        <w:t>0.00118m/d，</w:t>
      </w:r>
      <w:r>
        <w:rPr>
          <w:rFonts w:hint="eastAsia"/>
          <w:spacing w:val="-5"/>
          <w:sz w:val="30"/>
          <w:szCs w:val="30"/>
          <w:lang w:val="en-US" w:bidi="ar"/>
        </w:rPr>
        <w:t>地下水</w:t>
      </w:r>
      <w:r>
        <w:rPr>
          <w:rFonts w:hint="eastAsia"/>
          <w:spacing w:val="-15"/>
          <w:sz w:val="30"/>
          <w:szCs w:val="30"/>
          <w:lang w:val="en-US" w:bidi="ar"/>
        </w:rPr>
        <w:t xml:space="preserve">位标高 </w:t>
      </w:r>
      <w:r>
        <w:rPr>
          <w:rFonts w:hint="eastAsia"/>
          <w:sz w:val="30"/>
          <w:szCs w:val="30"/>
          <w:lang w:val="en-US" w:bidi="ar"/>
        </w:rPr>
        <w:t>1262.25m，</w:t>
      </w:r>
      <w:r>
        <w:rPr>
          <w:rFonts w:hint="eastAsia"/>
          <w:spacing w:val="-9"/>
          <w:sz w:val="30"/>
          <w:szCs w:val="30"/>
          <w:lang w:val="en-US" w:bidi="ar"/>
        </w:rPr>
        <w:t xml:space="preserve">水化学类型为 </w:t>
      </w:r>
      <w:r>
        <w:rPr>
          <w:rFonts w:hint="eastAsia"/>
          <w:sz w:val="30"/>
          <w:szCs w:val="30"/>
          <w:lang w:val="en-US" w:bidi="ar"/>
        </w:rPr>
        <w:t>Cl·SO</w:t>
      </w:r>
      <w:r>
        <w:rPr>
          <w:rFonts w:hint="eastAsia"/>
          <w:position w:val="-2"/>
          <w:sz w:val="30"/>
          <w:szCs w:val="30"/>
          <w:lang w:val="en-US" w:bidi="ar"/>
        </w:rPr>
        <w:t>4</w:t>
      </w:r>
      <w:r>
        <w:rPr>
          <w:rFonts w:hint="eastAsia"/>
          <w:sz w:val="30"/>
          <w:szCs w:val="30"/>
          <w:lang w:val="en-US" w:bidi="ar"/>
        </w:rPr>
        <w:t>-Na·Ca</w:t>
      </w:r>
      <w:r>
        <w:rPr>
          <w:rFonts w:hint="eastAsia"/>
          <w:spacing w:val="-20"/>
          <w:sz w:val="30"/>
          <w:szCs w:val="30"/>
          <w:lang w:val="en-US" w:bidi="ar"/>
        </w:rPr>
        <w:t xml:space="preserve"> 型。</w:t>
      </w:r>
    </w:p>
    <w:p>
      <w:pPr>
        <w:pStyle w:val="11"/>
        <w:spacing w:line="620" w:lineRule="exact"/>
        <w:ind w:firstLine="567"/>
        <w:jc w:val="both"/>
        <w:rPr>
          <w:sz w:val="30"/>
          <w:szCs w:val="30"/>
        </w:rPr>
      </w:pPr>
      <w:r>
        <w:rPr>
          <w:rFonts w:hint="eastAsia"/>
          <w:sz w:val="30"/>
          <w:szCs w:val="30"/>
          <w:lang w:val="en-US" w:bidi="ar"/>
        </w:rPr>
        <w:t>2、第Ⅱ含水带（P</w:t>
      </w:r>
      <w:r>
        <w:rPr>
          <w:rFonts w:hint="eastAsia"/>
          <w:position w:val="-2"/>
          <w:sz w:val="30"/>
          <w:szCs w:val="30"/>
          <w:lang w:val="en-US" w:bidi="ar"/>
        </w:rPr>
        <w:t>1</w:t>
      </w:r>
      <w:r>
        <w:rPr>
          <w:rFonts w:hint="eastAsia"/>
          <w:sz w:val="30"/>
          <w:szCs w:val="30"/>
          <w:lang w:val="en-US" w:bidi="ar"/>
        </w:rPr>
        <w:t>S）</w:t>
      </w:r>
    </w:p>
    <w:p>
      <w:pPr>
        <w:pStyle w:val="11"/>
        <w:spacing w:line="620" w:lineRule="exact"/>
        <w:ind w:firstLine="567"/>
        <w:jc w:val="both"/>
        <w:rPr>
          <w:sz w:val="30"/>
          <w:szCs w:val="30"/>
        </w:rPr>
      </w:pPr>
      <w:r>
        <w:rPr>
          <w:rFonts w:hint="eastAsia"/>
          <w:spacing w:val="-7"/>
          <w:sz w:val="30"/>
          <w:szCs w:val="30"/>
          <w:lang w:val="en-US" w:bidi="ar"/>
        </w:rPr>
        <w:t>含水层岩性主要为深灰色、灰黑色砂质泥岩，灰白色砂岩及煤层，含水层厚度约</w:t>
      </w:r>
      <w:r>
        <w:rPr>
          <w:rFonts w:hint="eastAsia"/>
          <w:spacing w:val="8"/>
          <w:sz w:val="30"/>
          <w:szCs w:val="30"/>
          <w:lang w:val="en-US" w:bidi="ar"/>
        </w:rPr>
        <w:t>15m</w:t>
      </w:r>
      <w:r>
        <w:rPr>
          <w:rFonts w:hint="eastAsia"/>
          <w:spacing w:val="10"/>
          <w:sz w:val="30"/>
          <w:szCs w:val="30"/>
          <w:lang w:val="en-US" w:bidi="ar"/>
        </w:rPr>
        <w:t xml:space="preserve">。据钻孔抽水试验资料， 单位涌水量 </w:t>
      </w:r>
      <w:r>
        <w:rPr>
          <w:rFonts w:hint="eastAsia"/>
          <w:sz w:val="30"/>
          <w:szCs w:val="30"/>
          <w:lang w:val="en-US" w:bidi="ar"/>
        </w:rPr>
        <w:t>0.00162—0.0000267l/s.m</w:t>
      </w:r>
      <w:r>
        <w:rPr>
          <w:rFonts w:hint="eastAsia"/>
          <w:spacing w:val="-5"/>
          <w:sz w:val="30"/>
          <w:szCs w:val="30"/>
          <w:lang w:val="en-US" w:bidi="ar"/>
        </w:rPr>
        <w:t>， 渗透系数</w:t>
      </w:r>
      <w:r>
        <w:rPr>
          <w:rFonts w:hint="eastAsia"/>
          <w:sz w:val="30"/>
          <w:szCs w:val="30"/>
          <w:lang w:val="en-US" w:bidi="ar"/>
        </w:rPr>
        <w:t>0.0069—0.0000852m/d，水化学类型为 Cl·SO</w:t>
      </w:r>
      <w:r>
        <w:rPr>
          <w:rFonts w:hint="eastAsia"/>
          <w:position w:val="-2"/>
          <w:sz w:val="30"/>
          <w:szCs w:val="30"/>
          <w:lang w:val="en-US" w:bidi="ar"/>
        </w:rPr>
        <w:t>4</w:t>
      </w:r>
      <w:r>
        <w:rPr>
          <w:rFonts w:hint="eastAsia"/>
          <w:sz w:val="30"/>
          <w:szCs w:val="30"/>
          <w:lang w:val="en-US" w:bidi="ar"/>
        </w:rPr>
        <w:t>-Na·Ca 型。</w:t>
      </w:r>
    </w:p>
    <w:p>
      <w:pPr>
        <w:pStyle w:val="11"/>
        <w:spacing w:line="620" w:lineRule="exact"/>
        <w:ind w:firstLine="567"/>
        <w:jc w:val="both"/>
        <w:rPr>
          <w:sz w:val="30"/>
          <w:szCs w:val="30"/>
        </w:rPr>
      </w:pPr>
      <w:r>
        <w:rPr>
          <w:rFonts w:hint="eastAsia"/>
          <w:sz w:val="30"/>
          <w:szCs w:val="30"/>
          <w:lang w:val="en-US" w:bidi="ar"/>
        </w:rPr>
        <w:t>3、第Ⅲ含水带（P</w:t>
      </w:r>
      <w:r>
        <w:rPr>
          <w:rFonts w:hint="eastAsia"/>
          <w:position w:val="-2"/>
          <w:sz w:val="30"/>
          <w:szCs w:val="30"/>
          <w:lang w:val="en-US" w:bidi="ar"/>
        </w:rPr>
        <w:t>1</w:t>
      </w:r>
      <w:r>
        <w:rPr>
          <w:rFonts w:hint="eastAsia"/>
          <w:sz w:val="30"/>
          <w:szCs w:val="30"/>
          <w:lang w:val="en-US" w:bidi="ar"/>
        </w:rPr>
        <w:t>S—16 号煤层）</w:t>
      </w:r>
    </w:p>
    <w:p>
      <w:pPr>
        <w:pStyle w:val="11"/>
        <w:spacing w:line="620" w:lineRule="exact"/>
        <w:ind w:firstLine="567"/>
        <w:jc w:val="both"/>
        <w:rPr>
          <w:sz w:val="30"/>
          <w:szCs w:val="30"/>
        </w:rPr>
      </w:pPr>
      <w:r>
        <w:rPr>
          <w:rFonts w:hint="eastAsia"/>
          <w:sz w:val="30"/>
          <w:szCs w:val="30"/>
          <w:lang w:val="en-US" w:bidi="ar"/>
        </w:rPr>
        <w:t>含水层岩性主要为深灰色、灰黑色砂质泥岩、灰白色砂岩及煤层，含水层厚度11.50m。据钻孔抽水资料，单位涌水量为0.00102—0.00182l/s.m，渗透系数0.0036—0.000229m/d</w:t>
      </w:r>
      <w:r>
        <w:rPr>
          <w:rFonts w:hint="eastAsia"/>
          <w:spacing w:val="-16"/>
          <w:sz w:val="30"/>
          <w:szCs w:val="30"/>
          <w:lang w:val="en-US" w:bidi="ar"/>
        </w:rPr>
        <w:t xml:space="preserve">，地下水位标高 </w:t>
      </w:r>
      <w:r>
        <w:rPr>
          <w:rFonts w:hint="eastAsia"/>
          <w:sz w:val="30"/>
          <w:szCs w:val="30"/>
          <w:lang w:val="en-US" w:bidi="ar"/>
        </w:rPr>
        <w:t>1210.67—1274.0</w:t>
      </w:r>
      <w:r>
        <w:rPr>
          <w:rFonts w:hint="eastAsia"/>
          <w:sz w:val="30"/>
          <w:szCs w:val="30"/>
          <w:vertAlign w:val="superscript"/>
          <w:lang w:val="en-US" w:bidi="ar"/>
        </w:rPr>
        <w:t>2</w:t>
      </w:r>
      <w:r>
        <w:rPr>
          <w:rFonts w:hint="eastAsia"/>
          <w:sz w:val="30"/>
          <w:szCs w:val="30"/>
          <w:lang w:val="en-US" w:bidi="ar"/>
        </w:rPr>
        <w:t>m</w:t>
      </w:r>
      <w:r>
        <w:rPr>
          <w:rFonts w:hint="eastAsia"/>
          <w:spacing w:val="-16"/>
          <w:sz w:val="30"/>
          <w:szCs w:val="30"/>
          <w:lang w:val="en-US" w:bidi="ar"/>
        </w:rPr>
        <w:t xml:space="preserve">。水化学类型为 </w:t>
      </w:r>
      <w:r>
        <w:rPr>
          <w:rFonts w:hint="eastAsia"/>
          <w:spacing w:val="-2"/>
          <w:sz w:val="30"/>
          <w:szCs w:val="30"/>
          <w:lang w:val="en-US" w:bidi="ar"/>
        </w:rPr>
        <w:t>Cl</w:t>
      </w:r>
      <w:r>
        <w:rPr>
          <w:rFonts w:hint="eastAsia"/>
          <w:spacing w:val="-53"/>
          <w:sz w:val="30"/>
          <w:szCs w:val="30"/>
          <w:lang w:val="en-US" w:bidi="ar"/>
        </w:rPr>
        <w:t>·</w:t>
      </w:r>
      <w:r>
        <w:rPr>
          <w:rFonts w:hint="eastAsia"/>
          <w:spacing w:val="-2"/>
          <w:sz w:val="30"/>
          <w:szCs w:val="30"/>
          <w:lang w:val="en-US" w:bidi="ar"/>
        </w:rPr>
        <w:t>SO</w:t>
      </w:r>
      <w:r>
        <w:rPr>
          <w:rFonts w:hint="eastAsia"/>
          <w:spacing w:val="-2"/>
          <w:position w:val="-2"/>
          <w:sz w:val="30"/>
          <w:szCs w:val="30"/>
          <w:lang w:val="en-US" w:bidi="ar"/>
        </w:rPr>
        <w:t>4</w:t>
      </w:r>
      <w:r>
        <w:rPr>
          <w:rFonts w:hint="eastAsia"/>
          <w:spacing w:val="-2"/>
          <w:sz w:val="30"/>
          <w:szCs w:val="30"/>
          <w:lang w:val="en-US" w:bidi="ar"/>
        </w:rPr>
        <w:t>-Na</w:t>
      </w:r>
      <w:r>
        <w:rPr>
          <w:rFonts w:hint="eastAsia"/>
          <w:spacing w:val="-20"/>
          <w:sz w:val="30"/>
          <w:szCs w:val="30"/>
          <w:lang w:val="en-US" w:bidi="ar"/>
        </w:rPr>
        <w:t xml:space="preserve">型和 </w:t>
      </w:r>
      <w:r>
        <w:rPr>
          <w:rFonts w:hint="eastAsia"/>
          <w:sz w:val="30"/>
          <w:szCs w:val="30"/>
          <w:lang w:val="en-US" w:bidi="ar"/>
        </w:rPr>
        <w:t>HCO</w:t>
      </w:r>
      <w:r>
        <w:rPr>
          <w:rFonts w:hint="eastAsia"/>
          <w:position w:val="-2"/>
          <w:sz w:val="30"/>
          <w:szCs w:val="30"/>
          <w:lang w:val="en-US" w:bidi="ar"/>
        </w:rPr>
        <w:t>3</w:t>
      </w:r>
      <w:r>
        <w:rPr>
          <w:rFonts w:hint="eastAsia"/>
          <w:sz w:val="30"/>
          <w:szCs w:val="30"/>
          <w:lang w:val="en-US" w:bidi="ar"/>
        </w:rPr>
        <w:t>·SO</w:t>
      </w:r>
      <w:r>
        <w:rPr>
          <w:rFonts w:hint="eastAsia"/>
          <w:position w:val="-2"/>
          <w:sz w:val="30"/>
          <w:szCs w:val="30"/>
          <w:lang w:val="en-US" w:bidi="ar"/>
        </w:rPr>
        <w:t>4</w:t>
      </w:r>
      <w:r>
        <w:rPr>
          <w:rFonts w:hint="eastAsia"/>
          <w:sz w:val="30"/>
          <w:szCs w:val="30"/>
          <w:lang w:val="en-US" w:bidi="ar"/>
        </w:rPr>
        <w:t>-Na</w:t>
      </w:r>
      <w:r>
        <w:rPr>
          <w:rFonts w:hint="eastAsia"/>
          <w:spacing w:val="-20"/>
          <w:sz w:val="30"/>
          <w:szCs w:val="30"/>
          <w:lang w:val="en-US" w:bidi="ar"/>
        </w:rPr>
        <w:t xml:space="preserve"> 型。</w:t>
      </w:r>
    </w:p>
    <w:p>
      <w:pPr>
        <w:pStyle w:val="11"/>
        <w:spacing w:line="620" w:lineRule="exact"/>
        <w:ind w:firstLine="567"/>
        <w:jc w:val="both"/>
        <w:rPr>
          <w:sz w:val="30"/>
          <w:szCs w:val="30"/>
        </w:rPr>
      </w:pPr>
      <w:r>
        <w:rPr>
          <w:rFonts w:hint="eastAsia"/>
          <w:sz w:val="30"/>
          <w:szCs w:val="30"/>
          <w:lang w:val="en-US" w:bidi="ar"/>
        </w:rPr>
        <w:t>4、第Ⅳ含水带（16 号煤层-O</w:t>
      </w:r>
      <w:r>
        <w:rPr>
          <w:rFonts w:hint="eastAsia"/>
          <w:position w:val="-2"/>
          <w:sz w:val="30"/>
          <w:szCs w:val="30"/>
          <w:lang w:val="en-US" w:bidi="ar"/>
        </w:rPr>
        <w:t>2</w:t>
      </w:r>
      <w:r>
        <w:rPr>
          <w:rFonts w:hint="eastAsia"/>
          <w:sz w:val="30"/>
          <w:szCs w:val="30"/>
          <w:lang w:val="en-US" w:bidi="ar"/>
        </w:rPr>
        <w:t>）</w:t>
      </w:r>
    </w:p>
    <w:p>
      <w:pPr>
        <w:pStyle w:val="11"/>
        <w:spacing w:line="620" w:lineRule="exact"/>
        <w:ind w:firstLine="567"/>
        <w:jc w:val="both"/>
        <w:rPr>
          <w:sz w:val="30"/>
          <w:szCs w:val="30"/>
        </w:rPr>
      </w:pPr>
      <w:r>
        <w:rPr>
          <w:rFonts w:hint="eastAsia"/>
          <w:spacing w:val="-4"/>
          <w:sz w:val="30"/>
          <w:szCs w:val="30"/>
          <w:lang w:val="en-US" w:bidi="ar"/>
        </w:rPr>
        <w:t xml:space="preserve">含水层岩性为灰白色中粗粒砂岩及煤层，含水厚度 </w:t>
      </w:r>
      <w:r>
        <w:rPr>
          <w:rFonts w:hint="eastAsia"/>
          <w:sz w:val="30"/>
          <w:szCs w:val="30"/>
          <w:lang w:val="en-US" w:bidi="ar"/>
        </w:rPr>
        <w:t>15m</w:t>
      </w:r>
      <w:r>
        <w:rPr>
          <w:rFonts w:hint="eastAsia"/>
          <w:spacing w:val="-6"/>
          <w:sz w:val="30"/>
          <w:szCs w:val="30"/>
          <w:lang w:val="en-US" w:bidi="ar"/>
        </w:rPr>
        <w:t>。据钻抽水试验资料，单</w:t>
      </w:r>
      <w:r>
        <w:rPr>
          <w:rFonts w:hint="eastAsia"/>
          <w:spacing w:val="-9"/>
          <w:sz w:val="30"/>
          <w:szCs w:val="30"/>
          <w:lang w:val="en-US" w:bidi="ar"/>
        </w:rPr>
        <w:t xml:space="preserve">位涌水量 </w:t>
      </w:r>
      <w:r>
        <w:rPr>
          <w:rFonts w:hint="eastAsia"/>
          <w:sz w:val="30"/>
          <w:szCs w:val="30"/>
          <w:lang w:val="en-US" w:bidi="ar"/>
        </w:rPr>
        <w:t>0.00137l/s.m</w:t>
      </w:r>
      <w:r>
        <w:rPr>
          <w:rFonts w:hint="eastAsia"/>
          <w:spacing w:val="-8"/>
          <w:sz w:val="30"/>
          <w:szCs w:val="30"/>
          <w:lang w:val="en-US" w:bidi="ar"/>
        </w:rPr>
        <w:t xml:space="preserve">，渗透系数 </w:t>
      </w:r>
      <w:r>
        <w:rPr>
          <w:rFonts w:hint="eastAsia"/>
          <w:sz w:val="30"/>
          <w:szCs w:val="30"/>
          <w:lang w:val="en-US" w:bidi="ar"/>
        </w:rPr>
        <w:t>0.0082m/d，</w:t>
      </w:r>
      <w:r>
        <w:rPr>
          <w:rFonts w:hint="eastAsia"/>
          <w:spacing w:val="-7"/>
          <w:sz w:val="30"/>
          <w:szCs w:val="30"/>
          <w:lang w:val="en-US" w:bidi="ar"/>
        </w:rPr>
        <w:t xml:space="preserve">地下水位标高 </w:t>
      </w:r>
      <w:r>
        <w:rPr>
          <w:rFonts w:hint="eastAsia"/>
          <w:sz w:val="30"/>
          <w:szCs w:val="30"/>
          <w:lang w:val="en-US" w:bidi="ar"/>
        </w:rPr>
        <w:t>1276.50m，水化学类</w:t>
      </w:r>
      <w:r>
        <w:rPr>
          <w:rFonts w:hint="eastAsia"/>
          <w:spacing w:val="-20"/>
          <w:sz w:val="30"/>
          <w:szCs w:val="30"/>
          <w:lang w:val="en-US" w:bidi="ar"/>
        </w:rPr>
        <w:t xml:space="preserve">型为 </w:t>
      </w:r>
      <w:r>
        <w:rPr>
          <w:rFonts w:hint="eastAsia"/>
          <w:sz w:val="30"/>
          <w:szCs w:val="30"/>
          <w:lang w:val="en-US" w:bidi="ar"/>
        </w:rPr>
        <w:t>HCO</w:t>
      </w:r>
      <w:r>
        <w:rPr>
          <w:rFonts w:hint="eastAsia"/>
          <w:position w:val="-2"/>
          <w:sz w:val="30"/>
          <w:szCs w:val="30"/>
          <w:lang w:val="en-US" w:bidi="ar"/>
        </w:rPr>
        <w:t>3</w:t>
      </w:r>
      <w:r>
        <w:rPr>
          <w:rFonts w:hint="eastAsia"/>
          <w:sz w:val="30"/>
          <w:szCs w:val="30"/>
          <w:lang w:val="en-US" w:bidi="ar"/>
        </w:rPr>
        <w:t>-Ca·Na</w:t>
      </w:r>
      <w:r>
        <w:rPr>
          <w:rFonts w:hint="eastAsia"/>
          <w:spacing w:val="-20"/>
          <w:sz w:val="30"/>
          <w:szCs w:val="30"/>
          <w:lang w:val="en-US" w:bidi="ar"/>
        </w:rPr>
        <w:t xml:space="preserve"> 型。</w:t>
      </w:r>
    </w:p>
    <w:p>
      <w:pPr>
        <w:pStyle w:val="11"/>
        <w:spacing w:line="620" w:lineRule="exact"/>
        <w:ind w:firstLine="567"/>
        <w:jc w:val="both"/>
        <w:rPr>
          <w:sz w:val="30"/>
          <w:szCs w:val="30"/>
        </w:rPr>
      </w:pPr>
      <w:r>
        <w:rPr>
          <w:rFonts w:hint="eastAsia"/>
          <w:sz w:val="30"/>
          <w:szCs w:val="30"/>
          <w:lang w:val="en-US" w:bidi="ar"/>
        </w:rPr>
        <w:t>5、第Ⅴ含水带（16 号煤层底—C</w:t>
      </w:r>
      <w:r>
        <w:rPr>
          <w:rFonts w:hint="eastAsia"/>
          <w:position w:val="-2"/>
          <w:sz w:val="30"/>
          <w:szCs w:val="30"/>
          <w:lang w:val="en-US" w:bidi="ar"/>
        </w:rPr>
        <w:t>2</w:t>
      </w:r>
      <w:r>
        <w:rPr>
          <w:rFonts w:hint="eastAsia"/>
          <w:sz w:val="30"/>
          <w:szCs w:val="30"/>
          <w:lang w:val="en-US" w:bidi="ar"/>
        </w:rPr>
        <w:t>b）</w:t>
      </w:r>
    </w:p>
    <w:p>
      <w:pPr>
        <w:pStyle w:val="11"/>
        <w:spacing w:line="620" w:lineRule="exact"/>
        <w:ind w:firstLine="567"/>
        <w:jc w:val="both"/>
        <w:rPr>
          <w:sz w:val="30"/>
          <w:szCs w:val="30"/>
        </w:rPr>
      </w:pPr>
      <w:r>
        <w:rPr>
          <w:rFonts w:hint="eastAsia"/>
          <w:spacing w:val="-1"/>
          <w:sz w:val="30"/>
          <w:szCs w:val="30"/>
          <w:lang w:val="en-US" w:bidi="ar"/>
        </w:rPr>
        <w:t xml:space="preserve">含水层岩性为灰白色细砂岩，含水层厚度 </w:t>
      </w:r>
      <w:r>
        <w:rPr>
          <w:rFonts w:hint="eastAsia"/>
          <w:sz w:val="30"/>
          <w:szCs w:val="30"/>
          <w:lang w:val="en-US" w:bidi="ar"/>
        </w:rPr>
        <w:t>9～29m。据钻孔抽水试验资料，单位</w:t>
      </w:r>
      <w:r>
        <w:rPr>
          <w:rFonts w:hint="eastAsia"/>
          <w:spacing w:val="-12"/>
          <w:sz w:val="30"/>
          <w:szCs w:val="30"/>
          <w:lang w:val="en-US" w:bidi="ar"/>
        </w:rPr>
        <w:t xml:space="preserve">涌水量 </w:t>
      </w:r>
      <w:r>
        <w:rPr>
          <w:rFonts w:hint="eastAsia"/>
          <w:sz w:val="30"/>
          <w:szCs w:val="30"/>
          <w:lang w:val="en-US" w:bidi="ar"/>
        </w:rPr>
        <w:t>0.00798—0.05301l/s.m，</w:t>
      </w:r>
      <w:r>
        <w:rPr>
          <w:rFonts w:hint="eastAsia"/>
          <w:spacing w:val="-8"/>
          <w:sz w:val="30"/>
          <w:szCs w:val="30"/>
          <w:lang w:val="en-US" w:bidi="ar"/>
        </w:rPr>
        <w:t xml:space="preserve">渗透系数 </w:t>
      </w:r>
      <w:r>
        <w:rPr>
          <w:rFonts w:hint="eastAsia"/>
          <w:sz w:val="30"/>
          <w:szCs w:val="30"/>
          <w:lang w:val="en-US" w:bidi="ar"/>
        </w:rPr>
        <w:t>0.0601～0.299m/d</w:t>
      </w:r>
      <w:r>
        <w:rPr>
          <w:rFonts w:hint="eastAsia"/>
          <w:spacing w:val="-5"/>
          <w:sz w:val="30"/>
          <w:szCs w:val="30"/>
          <w:lang w:val="en-US" w:bidi="ar"/>
        </w:rPr>
        <w:t xml:space="preserve">。矿化度小于 </w:t>
      </w:r>
      <w:r>
        <w:rPr>
          <w:rFonts w:hint="eastAsia"/>
          <w:sz w:val="30"/>
          <w:szCs w:val="30"/>
          <w:lang w:val="en-US" w:bidi="ar"/>
        </w:rPr>
        <w:t xml:space="preserve">1g/l， </w:t>
      </w:r>
      <w:r>
        <w:rPr>
          <w:rFonts w:hint="eastAsia"/>
          <w:spacing w:val="-9"/>
          <w:sz w:val="30"/>
          <w:szCs w:val="30"/>
          <w:lang w:val="en-US" w:bidi="ar"/>
        </w:rPr>
        <w:t xml:space="preserve">水化学类型为 </w:t>
      </w:r>
      <w:r>
        <w:rPr>
          <w:rFonts w:hint="eastAsia"/>
          <w:sz w:val="30"/>
          <w:szCs w:val="30"/>
          <w:lang w:val="en-US" w:bidi="ar"/>
        </w:rPr>
        <w:t>HCO</w:t>
      </w:r>
      <w:r>
        <w:rPr>
          <w:rFonts w:hint="eastAsia"/>
          <w:position w:val="-2"/>
          <w:sz w:val="30"/>
          <w:szCs w:val="30"/>
          <w:lang w:val="en-US" w:bidi="ar"/>
        </w:rPr>
        <w:t>3</w:t>
      </w:r>
      <w:r>
        <w:rPr>
          <w:rFonts w:hint="eastAsia"/>
          <w:sz w:val="30"/>
          <w:szCs w:val="30"/>
          <w:lang w:val="en-US" w:bidi="ar"/>
        </w:rPr>
        <w:t>·SO</w:t>
      </w:r>
      <w:r>
        <w:rPr>
          <w:rFonts w:hint="eastAsia"/>
          <w:position w:val="-2"/>
          <w:sz w:val="30"/>
          <w:szCs w:val="30"/>
          <w:lang w:val="en-US" w:bidi="ar"/>
        </w:rPr>
        <w:t>4</w:t>
      </w:r>
      <w:r>
        <w:rPr>
          <w:rFonts w:hint="eastAsia"/>
          <w:sz w:val="30"/>
          <w:szCs w:val="30"/>
          <w:lang w:val="en-US" w:bidi="ar"/>
        </w:rPr>
        <w:t>·Cl-Na·Ca·Mg</w:t>
      </w:r>
      <w:r>
        <w:rPr>
          <w:rFonts w:hint="eastAsia"/>
          <w:spacing w:val="-8"/>
          <w:sz w:val="30"/>
          <w:szCs w:val="30"/>
          <w:lang w:val="en-US" w:bidi="ar"/>
        </w:rPr>
        <w:t xml:space="preserve"> 型，富水性弱。</w:t>
      </w:r>
    </w:p>
    <w:p>
      <w:pPr>
        <w:pStyle w:val="5"/>
        <w:widowControl/>
        <w:spacing w:line="620" w:lineRule="exact"/>
        <w:ind w:left="0" w:firstLine="567"/>
        <w:jc w:val="both"/>
        <w:rPr>
          <w:rFonts w:hint="default" w:cs="宋体"/>
          <w:sz w:val="30"/>
          <w:szCs w:val="30"/>
        </w:rPr>
      </w:pPr>
      <w:r>
        <w:rPr>
          <w:rFonts w:cs="宋体"/>
          <w:sz w:val="30"/>
          <w:szCs w:val="30"/>
        </w:rPr>
        <w:t>二、地下水补给、径流和排泄条件</w:t>
      </w:r>
    </w:p>
    <w:p>
      <w:pPr>
        <w:pStyle w:val="11"/>
        <w:spacing w:line="620" w:lineRule="exact"/>
        <w:ind w:firstLine="567"/>
        <w:jc w:val="both"/>
        <w:rPr>
          <w:sz w:val="30"/>
          <w:szCs w:val="30"/>
        </w:rPr>
      </w:pPr>
      <w:r>
        <w:rPr>
          <w:rFonts w:hint="eastAsia"/>
          <w:sz w:val="30"/>
          <w:szCs w:val="30"/>
          <w:lang w:val="en-US" w:bidi="ar"/>
        </w:rPr>
        <w:t>矿区基岩裂隙水主要通过节理、裂隙接收大气降水的补给，同时接受领区地下水的侧向补给。该区地下水沿地层倾向径流，地下水主要以侧向径流方式排泻至区外。</w:t>
      </w:r>
    </w:p>
    <w:p>
      <w:pPr>
        <w:spacing w:line="620" w:lineRule="exact"/>
        <w:ind w:firstLine="567"/>
        <w:jc w:val="both"/>
        <w:rPr>
          <w:b/>
          <w:sz w:val="30"/>
          <w:szCs w:val="30"/>
          <w:lang w:val="en-US" w:bidi="ar"/>
        </w:rPr>
      </w:pPr>
      <w:r>
        <w:rPr>
          <w:rFonts w:hint="eastAsia"/>
          <w:b/>
          <w:sz w:val="30"/>
          <w:szCs w:val="30"/>
          <w:lang w:val="en-US" w:bidi="ar"/>
        </w:rPr>
        <w:t>三、矿床充水因素分析</w:t>
      </w:r>
    </w:p>
    <w:p>
      <w:pPr>
        <w:spacing w:line="620" w:lineRule="exact"/>
        <w:ind w:firstLine="567"/>
        <w:jc w:val="both"/>
        <w:rPr>
          <w:sz w:val="30"/>
          <w:szCs w:val="30"/>
        </w:rPr>
      </w:pPr>
      <w:r>
        <w:rPr>
          <w:rFonts w:hint="eastAsia"/>
          <w:sz w:val="30"/>
          <w:szCs w:val="30"/>
          <w:lang w:val="en-US" w:bidi="ar"/>
        </w:rPr>
        <w:t>1、断裂带充水因素分析</w:t>
      </w:r>
    </w:p>
    <w:p>
      <w:pPr>
        <w:pStyle w:val="11"/>
        <w:spacing w:line="620" w:lineRule="exact"/>
        <w:ind w:firstLine="567"/>
        <w:jc w:val="both"/>
        <w:rPr>
          <w:sz w:val="30"/>
          <w:szCs w:val="30"/>
        </w:rPr>
      </w:pPr>
      <w:r>
        <w:rPr>
          <w:rFonts w:hint="eastAsia"/>
          <w:spacing w:val="-10"/>
          <w:sz w:val="30"/>
          <w:szCs w:val="30"/>
          <w:lang w:val="en-US" w:bidi="ar"/>
        </w:rPr>
        <w:t xml:space="preserve">矿区边界有 </w:t>
      </w:r>
      <w:r>
        <w:rPr>
          <w:rFonts w:hint="eastAsia"/>
          <w:sz w:val="30"/>
          <w:szCs w:val="30"/>
          <w:lang w:val="en-US" w:bidi="ar"/>
        </w:rPr>
        <w:t>F10</w:t>
      </w:r>
      <w:r>
        <w:rPr>
          <w:rFonts w:hint="eastAsia"/>
          <w:spacing w:val="-38"/>
          <w:sz w:val="30"/>
          <w:szCs w:val="30"/>
          <w:lang w:val="en-US" w:bidi="ar"/>
        </w:rPr>
        <w:t xml:space="preserve"> 和 </w:t>
      </w:r>
      <w:r>
        <w:rPr>
          <w:rFonts w:hint="eastAsia"/>
          <w:sz w:val="30"/>
          <w:szCs w:val="30"/>
          <w:lang w:val="en-US" w:bidi="ar"/>
        </w:rPr>
        <w:t>F19</w:t>
      </w:r>
      <w:r>
        <w:rPr>
          <w:rFonts w:hint="eastAsia"/>
          <w:spacing w:val="-13"/>
          <w:sz w:val="30"/>
          <w:szCs w:val="30"/>
          <w:lang w:val="en-US" w:bidi="ar"/>
        </w:rPr>
        <w:t xml:space="preserve"> 两条正断层，呈近 </w:t>
      </w:r>
      <w:r>
        <w:rPr>
          <w:rFonts w:hint="eastAsia"/>
          <w:sz w:val="30"/>
          <w:szCs w:val="30"/>
          <w:lang w:val="en-US" w:bidi="ar"/>
        </w:rPr>
        <w:t>EW</w:t>
      </w:r>
      <w:r>
        <w:rPr>
          <w:rFonts w:hint="eastAsia"/>
          <w:spacing w:val="-9"/>
          <w:sz w:val="30"/>
          <w:szCs w:val="30"/>
          <w:lang w:val="en-US" w:bidi="ar"/>
        </w:rPr>
        <w:t xml:space="preserve"> 向分布。勘探期间断层均未做抽水</w:t>
      </w:r>
      <w:r>
        <w:rPr>
          <w:rFonts w:hint="eastAsia"/>
          <w:sz w:val="30"/>
          <w:szCs w:val="30"/>
          <w:lang w:val="en-US" w:bidi="ar"/>
        </w:rPr>
        <w:t>试验，富水性和导水性不详。</w:t>
      </w:r>
    </w:p>
    <w:p>
      <w:pPr>
        <w:pStyle w:val="11"/>
        <w:spacing w:line="620" w:lineRule="exact"/>
        <w:ind w:firstLine="567"/>
        <w:jc w:val="both"/>
        <w:rPr>
          <w:sz w:val="30"/>
          <w:szCs w:val="30"/>
        </w:rPr>
      </w:pPr>
      <w:r>
        <w:rPr>
          <w:rFonts w:hint="eastAsia"/>
          <w:sz w:val="30"/>
          <w:szCs w:val="30"/>
          <w:lang w:val="en-US" w:bidi="ar"/>
        </w:rPr>
        <w:t>2、地下水充水因素分析</w:t>
      </w:r>
    </w:p>
    <w:p>
      <w:pPr>
        <w:pStyle w:val="11"/>
        <w:spacing w:line="620" w:lineRule="exact"/>
        <w:ind w:firstLine="567"/>
        <w:jc w:val="both"/>
        <w:rPr>
          <w:sz w:val="30"/>
          <w:szCs w:val="30"/>
        </w:rPr>
      </w:pPr>
      <w:r>
        <w:rPr>
          <w:rFonts w:hint="eastAsia"/>
          <w:spacing w:val="-7"/>
          <w:sz w:val="30"/>
          <w:szCs w:val="30"/>
          <w:lang w:val="en-US" w:bidi="ar"/>
        </w:rPr>
        <w:t>矿区位于桌子山背斜西翼中部，属地下水的补给迳流区，除接受大气降水入渗补</w:t>
      </w:r>
      <w:r>
        <w:rPr>
          <w:rFonts w:hint="eastAsia"/>
          <w:spacing w:val="-10"/>
          <w:sz w:val="30"/>
          <w:szCs w:val="30"/>
          <w:lang w:val="en-US" w:bidi="ar"/>
        </w:rPr>
        <w:t>给外，还接受邻区基岩裂隙水的补给。矿床的直接充水含水层为基岩裂隙水，含水层</w:t>
      </w:r>
      <w:r>
        <w:rPr>
          <w:rFonts w:hint="eastAsia"/>
          <w:spacing w:val="-7"/>
          <w:sz w:val="30"/>
          <w:szCs w:val="30"/>
          <w:lang w:val="en-US" w:bidi="ar"/>
        </w:rPr>
        <w:t>岩性主要为砂岩、砂质泥岩及煤层，一般基岩裂隙较发育，富水性较好，原煤矿井工</w:t>
      </w:r>
      <w:r>
        <w:rPr>
          <w:rFonts w:hint="eastAsia"/>
          <w:spacing w:val="-14"/>
          <w:sz w:val="30"/>
          <w:szCs w:val="30"/>
          <w:lang w:val="en-US" w:bidi="ar"/>
        </w:rPr>
        <w:t xml:space="preserve">开采时涌水量为 </w:t>
      </w:r>
      <w:r>
        <w:rPr>
          <w:rFonts w:hint="eastAsia"/>
          <w:spacing w:val="-4"/>
          <w:sz w:val="30"/>
          <w:szCs w:val="30"/>
          <w:lang w:val="en-US" w:bidi="ar"/>
        </w:rPr>
        <w:t>8～18m</w:t>
      </w:r>
      <w:r>
        <w:rPr>
          <w:spacing w:val="-4"/>
          <w:sz w:val="30"/>
          <w:szCs w:val="30"/>
          <w:vertAlign w:val="superscript"/>
          <w:lang w:val="en-US" w:bidi="ar"/>
        </w:rPr>
        <w:t>3</w:t>
      </w:r>
      <w:r>
        <w:rPr>
          <w:rFonts w:hint="eastAsia"/>
          <w:spacing w:val="-4"/>
          <w:sz w:val="30"/>
          <w:szCs w:val="30"/>
          <w:lang w:val="en-US" w:bidi="ar"/>
        </w:rPr>
        <w:t>/d</w:t>
      </w:r>
      <w:r>
        <w:rPr>
          <w:rFonts w:hint="eastAsia"/>
          <w:spacing w:val="-9"/>
          <w:sz w:val="30"/>
          <w:szCs w:val="30"/>
          <w:lang w:val="en-US" w:bidi="ar"/>
        </w:rPr>
        <w:t xml:space="preserve">，因此，基岩裂隙水对采煤掘进会产生一定的影响。另外， </w:t>
      </w:r>
      <w:r>
        <w:rPr>
          <w:rFonts w:hint="eastAsia"/>
          <w:sz w:val="30"/>
          <w:szCs w:val="30"/>
          <w:lang w:val="en-US" w:bidi="ar"/>
        </w:rPr>
        <w:t>17</w:t>
      </w:r>
      <w:r>
        <w:rPr>
          <w:rFonts w:hint="eastAsia"/>
          <w:spacing w:val="-8"/>
          <w:sz w:val="30"/>
          <w:szCs w:val="30"/>
          <w:lang w:val="en-US" w:bidi="ar"/>
        </w:rPr>
        <w:t xml:space="preserve"> 号煤层井下富水，在开采的过程中，需注意井下防水工作。</w:t>
      </w:r>
    </w:p>
    <w:p>
      <w:pPr>
        <w:pStyle w:val="5"/>
        <w:widowControl/>
        <w:spacing w:line="620" w:lineRule="exact"/>
        <w:ind w:left="0" w:firstLine="567"/>
        <w:jc w:val="both"/>
        <w:rPr>
          <w:rFonts w:hint="default" w:cs="宋体"/>
          <w:sz w:val="30"/>
          <w:szCs w:val="30"/>
        </w:rPr>
      </w:pPr>
      <w:r>
        <w:rPr>
          <w:rFonts w:cs="宋体"/>
          <w:sz w:val="30"/>
          <w:szCs w:val="30"/>
        </w:rPr>
        <w:t>四、矿区水文地质勘探类型</w:t>
      </w:r>
    </w:p>
    <w:p>
      <w:pPr>
        <w:pStyle w:val="11"/>
        <w:spacing w:line="620" w:lineRule="exact"/>
        <w:ind w:firstLine="567"/>
        <w:jc w:val="both"/>
        <w:rPr>
          <w:sz w:val="30"/>
          <w:szCs w:val="30"/>
        </w:rPr>
      </w:pPr>
      <w:r>
        <w:rPr>
          <w:rFonts w:hint="eastAsia"/>
          <w:spacing w:val="-6"/>
          <w:sz w:val="30"/>
          <w:szCs w:val="30"/>
          <w:lang w:val="en-US" w:bidi="ar"/>
        </w:rPr>
        <w:t>矿区各含水层富水性一般较弱，补给源不充足，对采矿不会构成大的威胁。但矿</w:t>
      </w:r>
      <w:r>
        <w:rPr>
          <w:rFonts w:hint="eastAsia"/>
          <w:spacing w:val="-7"/>
          <w:sz w:val="30"/>
          <w:szCs w:val="30"/>
          <w:lang w:val="en-US" w:bidi="ar"/>
        </w:rPr>
        <w:t xml:space="preserve">区周边断层较发育，并切割同岩性的含水层，从而加强了各含水层之间的水力联系； </w:t>
      </w:r>
      <w:r>
        <w:rPr>
          <w:rFonts w:hint="eastAsia"/>
          <w:spacing w:val="-5"/>
          <w:sz w:val="30"/>
          <w:szCs w:val="30"/>
          <w:lang w:val="en-US" w:bidi="ar"/>
        </w:rPr>
        <w:t>另外不同方向断层破碎带的相互沟通和导水，下伏奥陶系岩溶水的补给，都是矿坑充水不可忽视的因素。</w:t>
      </w:r>
    </w:p>
    <w:p>
      <w:pPr>
        <w:pStyle w:val="11"/>
        <w:spacing w:line="620" w:lineRule="exact"/>
        <w:ind w:firstLine="567"/>
        <w:jc w:val="both"/>
        <w:rPr>
          <w:sz w:val="30"/>
          <w:szCs w:val="30"/>
        </w:rPr>
      </w:pPr>
      <w:r>
        <w:rPr>
          <w:rFonts w:hint="eastAsia"/>
          <w:sz w:val="30"/>
          <w:szCs w:val="30"/>
          <w:lang w:val="en-US" w:bidi="ar"/>
        </w:rPr>
        <w:t xml:space="preserve">综上所述，矿区水文地质勘探类型为第二类第一～第二型，即以裂隙充水为主的水文地质条件简单～中等的矿床。 </w:t>
      </w:r>
    </w:p>
    <w:p>
      <w:pPr>
        <w:pStyle w:val="5"/>
        <w:widowControl/>
        <w:numPr>
          <w:ilvl w:val="2"/>
          <w:numId w:val="2"/>
        </w:numPr>
        <w:spacing w:before="1"/>
        <w:ind w:left="220" w:leftChars="100" w:right="220" w:rightChars="100" w:firstLine="200"/>
        <w:rPr>
          <w:rFonts w:hint="default" w:cs="宋体"/>
          <w:sz w:val="30"/>
          <w:szCs w:val="30"/>
        </w:rPr>
      </w:pPr>
      <w:r>
        <w:rPr>
          <w:rFonts w:cs="宋体"/>
          <w:sz w:val="30"/>
          <w:szCs w:val="30"/>
        </w:rPr>
        <w:t>工程地质条件</w:t>
      </w:r>
    </w:p>
    <w:p>
      <w:pPr>
        <w:pStyle w:val="11"/>
        <w:spacing w:line="620" w:lineRule="exact"/>
        <w:ind w:firstLine="567"/>
        <w:jc w:val="both"/>
        <w:rPr>
          <w:sz w:val="30"/>
          <w:szCs w:val="30"/>
        </w:rPr>
      </w:pPr>
      <w:r>
        <w:rPr>
          <w:rFonts w:hint="eastAsia"/>
          <w:b/>
          <w:sz w:val="30"/>
          <w:szCs w:val="30"/>
          <w:lang w:val="en-US" w:bidi="ar"/>
        </w:rPr>
        <w:t xml:space="preserve"> </w:t>
      </w:r>
      <w:r>
        <w:rPr>
          <w:sz w:val="30"/>
          <w:szCs w:val="30"/>
        </w:rPr>
        <w:t>一、岩土体类型</w:t>
      </w:r>
    </w:p>
    <w:p>
      <w:pPr>
        <w:pStyle w:val="11"/>
        <w:spacing w:line="620" w:lineRule="exact"/>
        <w:ind w:firstLine="567"/>
        <w:jc w:val="both"/>
        <w:rPr>
          <w:sz w:val="30"/>
          <w:szCs w:val="30"/>
        </w:rPr>
      </w:pPr>
      <w:r>
        <w:rPr>
          <w:rFonts w:hint="eastAsia"/>
          <w:sz w:val="30"/>
          <w:szCs w:val="30"/>
          <w:lang w:val="en-US" w:bidi="ar"/>
        </w:rPr>
        <w:t>根据矿区地层岩性、岩石物理力学性质、岩土体结构及工程地质特征，将矿区内岩土体类型划分为较软岩～较硬岩和砂土两种类型。</w:t>
      </w:r>
    </w:p>
    <w:p>
      <w:pPr>
        <w:pStyle w:val="11"/>
        <w:spacing w:line="620" w:lineRule="exact"/>
        <w:ind w:firstLine="567"/>
        <w:jc w:val="both"/>
        <w:rPr>
          <w:sz w:val="30"/>
          <w:szCs w:val="30"/>
        </w:rPr>
      </w:pPr>
      <w:r>
        <w:rPr>
          <w:rFonts w:hint="eastAsia"/>
          <w:sz w:val="30"/>
          <w:szCs w:val="30"/>
          <w:lang w:val="en-US" w:bidi="ar"/>
        </w:rPr>
        <w:t>（一）较软岩～较硬岩</w:t>
      </w:r>
    </w:p>
    <w:p>
      <w:pPr>
        <w:pStyle w:val="11"/>
        <w:spacing w:line="620" w:lineRule="exact"/>
        <w:ind w:firstLine="567"/>
        <w:jc w:val="both"/>
        <w:rPr>
          <w:sz w:val="30"/>
          <w:szCs w:val="30"/>
        </w:rPr>
      </w:pPr>
      <w:r>
        <w:rPr>
          <w:rFonts w:hint="eastAsia"/>
          <w:sz w:val="30"/>
          <w:szCs w:val="30"/>
          <w:lang w:val="en-US" w:bidi="ar"/>
        </w:rPr>
        <w:t>包括石炭系下统本溪组（C</w:t>
      </w:r>
      <w:r>
        <w:rPr>
          <w:rFonts w:hint="eastAsia"/>
          <w:position w:val="-2"/>
          <w:sz w:val="30"/>
          <w:szCs w:val="30"/>
          <w:lang w:val="en-US" w:bidi="ar"/>
        </w:rPr>
        <w:t>1</w:t>
      </w:r>
      <w:r>
        <w:rPr>
          <w:rFonts w:hint="eastAsia"/>
          <w:sz w:val="30"/>
          <w:szCs w:val="30"/>
          <w:lang w:val="en-US" w:bidi="ar"/>
        </w:rPr>
        <w:t>b）、石炭系上统太原组（C</w:t>
      </w:r>
      <w:r>
        <w:rPr>
          <w:rFonts w:hint="eastAsia"/>
          <w:position w:val="-2"/>
          <w:sz w:val="30"/>
          <w:szCs w:val="30"/>
          <w:lang w:val="en-US" w:bidi="ar"/>
        </w:rPr>
        <w:t>2</w:t>
      </w:r>
      <w:r>
        <w:rPr>
          <w:rFonts w:hint="eastAsia"/>
          <w:sz w:val="30"/>
          <w:szCs w:val="30"/>
          <w:lang w:val="en-US" w:bidi="ar"/>
        </w:rPr>
        <w:t>t），二叠系下统山西组（P</w:t>
      </w:r>
      <w:r>
        <w:rPr>
          <w:rFonts w:hint="eastAsia"/>
          <w:position w:val="-2"/>
          <w:sz w:val="30"/>
          <w:szCs w:val="30"/>
          <w:lang w:val="en-US" w:bidi="ar"/>
        </w:rPr>
        <w:t>1</w:t>
      </w:r>
      <w:r>
        <w:rPr>
          <w:rFonts w:hint="eastAsia"/>
          <w:sz w:val="30"/>
          <w:szCs w:val="30"/>
          <w:lang w:val="en-US" w:bidi="ar"/>
        </w:rPr>
        <w:t>s）和下石盒子组（P</w:t>
      </w:r>
      <w:r>
        <w:rPr>
          <w:rFonts w:hint="eastAsia"/>
          <w:position w:val="-2"/>
          <w:sz w:val="30"/>
          <w:szCs w:val="30"/>
          <w:lang w:val="en-US" w:bidi="ar"/>
        </w:rPr>
        <w:t>1</w:t>
      </w:r>
      <w:r>
        <w:rPr>
          <w:rFonts w:hint="eastAsia"/>
          <w:sz w:val="30"/>
          <w:szCs w:val="30"/>
          <w:lang w:val="en-US" w:bidi="ar"/>
        </w:rPr>
        <w:t>x）。</w:t>
      </w:r>
    </w:p>
    <w:p>
      <w:pPr>
        <w:pStyle w:val="11"/>
        <w:spacing w:line="620" w:lineRule="exact"/>
        <w:ind w:firstLine="567"/>
        <w:jc w:val="both"/>
        <w:rPr>
          <w:sz w:val="30"/>
          <w:szCs w:val="30"/>
        </w:rPr>
      </w:pPr>
      <w:r>
        <w:rPr>
          <w:rFonts w:hint="eastAsia"/>
          <w:sz w:val="30"/>
          <w:szCs w:val="30"/>
          <w:lang w:val="en-US" w:bidi="ar"/>
        </w:rPr>
        <w:t>（二）砂土</w:t>
      </w:r>
    </w:p>
    <w:p>
      <w:pPr>
        <w:pStyle w:val="11"/>
        <w:spacing w:line="620" w:lineRule="exact"/>
        <w:ind w:firstLine="567"/>
        <w:jc w:val="both"/>
        <w:rPr>
          <w:rFonts w:hint="eastAsia"/>
          <w:sz w:val="30"/>
          <w:szCs w:val="30"/>
        </w:rPr>
      </w:pPr>
      <w:r>
        <w:rPr>
          <w:rFonts w:hint="eastAsia"/>
          <w:sz w:val="30"/>
          <w:szCs w:val="30"/>
          <w:lang w:val="en-US" w:bidi="ar"/>
        </w:rPr>
        <w:t>由第四系残坡积和风积物组成。</w:t>
      </w:r>
    </w:p>
    <w:p>
      <w:pPr>
        <w:pStyle w:val="5"/>
        <w:widowControl/>
        <w:spacing w:line="620" w:lineRule="exact"/>
        <w:ind w:left="0" w:firstLine="567"/>
        <w:jc w:val="both"/>
        <w:rPr>
          <w:rFonts w:hint="default" w:cs="宋体"/>
          <w:sz w:val="30"/>
          <w:szCs w:val="30"/>
        </w:rPr>
      </w:pPr>
      <w:r>
        <w:rPr>
          <w:rFonts w:cs="宋体"/>
          <w:sz w:val="30"/>
          <w:szCs w:val="30"/>
        </w:rPr>
        <w:t>二、岩土体工程地质特征</w:t>
      </w:r>
    </w:p>
    <w:p>
      <w:pPr>
        <w:pStyle w:val="11"/>
        <w:spacing w:line="620" w:lineRule="exact"/>
        <w:ind w:firstLine="567"/>
        <w:jc w:val="both"/>
        <w:rPr>
          <w:sz w:val="30"/>
          <w:szCs w:val="30"/>
        </w:rPr>
      </w:pPr>
      <w:r>
        <w:rPr>
          <w:rFonts w:hint="eastAsia"/>
          <w:sz w:val="30"/>
          <w:szCs w:val="30"/>
          <w:lang w:val="en-US" w:bidi="ar"/>
        </w:rPr>
        <w:t>（一）较软岩～较硬岩</w:t>
      </w:r>
    </w:p>
    <w:p>
      <w:pPr>
        <w:pStyle w:val="11"/>
        <w:spacing w:line="620" w:lineRule="exact"/>
        <w:ind w:firstLine="567"/>
        <w:jc w:val="both"/>
        <w:rPr>
          <w:sz w:val="30"/>
          <w:szCs w:val="30"/>
        </w:rPr>
      </w:pPr>
      <w:r>
        <w:rPr>
          <w:rFonts w:hint="eastAsia"/>
          <w:sz w:val="30"/>
          <w:szCs w:val="30"/>
          <w:lang w:val="en-US" w:bidi="ar"/>
        </w:rPr>
        <w:t>出露于矿区的中部，岩性主要为砂岩、砂质泥岩、泥岩及灰岩。砂岩抗压强度</w:t>
      </w:r>
      <w:r>
        <w:rPr>
          <w:rFonts w:hint="eastAsia"/>
          <w:spacing w:val="-15"/>
          <w:sz w:val="30"/>
          <w:szCs w:val="30"/>
          <w:lang w:val="en-US" w:bidi="ar"/>
        </w:rPr>
        <w:t xml:space="preserve">一般在 </w:t>
      </w:r>
      <w:r>
        <w:rPr>
          <w:rFonts w:hint="eastAsia"/>
          <w:sz w:val="30"/>
          <w:szCs w:val="30"/>
          <w:lang w:val="en-US" w:bidi="ar"/>
        </w:rPr>
        <w:t>39.2～70.3MPa</w:t>
      </w:r>
      <w:r>
        <w:rPr>
          <w:rFonts w:hint="eastAsia"/>
          <w:spacing w:val="-20"/>
          <w:sz w:val="30"/>
          <w:szCs w:val="30"/>
          <w:lang w:val="en-US" w:bidi="ar"/>
        </w:rPr>
        <w:t xml:space="preserve">之间，砂质泥岩抗压强度 </w:t>
      </w:r>
      <w:r>
        <w:rPr>
          <w:rFonts w:hint="eastAsia"/>
          <w:sz w:val="30"/>
          <w:szCs w:val="30"/>
          <w:lang w:val="en-US" w:bidi="ar"/>
        </w:rPr>
        <w:t>15.7～64.6MPa</w:t>
      </w:r>
      <w:r>
        <w:rPr>
          <w:rFonts w:hint="eastAsia"/>
          <w:spacing w:val="-23"/>
          <w:sz w:val="30"/>
          <w:szCs w:val="30"/>
          <w:lang w:val="en-US" w:bidi="ar"/>
        </w:rPr>
        <w:t xml:space="preserve">，泥岩抗压强度 </w:t>
      </w:r>
      <w:r>
        <w:rPr>
          <w:rFonts w:hint="eastAsia"/>
          <w:spacing w:val="-5"/>
          <w:sz w:val="30"/>
          <w:szCs w:val="30"/>
          <w:lang w:val="en-US" w:bidi="ar"/>
        </w:rPr>
        <w:t>8.5～</w:t>
      </w:r>
      <w:r>
        <w:rPr>
          <w:rFonts w:hint="eastAsia"/>
          <w:sz w:val="30"/>
          <w:szCs w:val="30"/>
          <w:lang w:val="en-US" w:bidi="ar"/>
        </w:rPr>
        <w:t xml:space="preserve"> 45MPa。</w:t>
      </w:r>
    </w:p>
    <w:p>
      <w:pPr>
        <w:pStyle w:val="11"/>
        <w:spacing w:line="620" w:lineRule="exact"/>
        <w:ind w:firstLine="567"/>
        <w:jc w:val="both"/>
        <w:rPr>
          <w:sz w:val="30"/>
          <w:szCs w:val="30"/>
        </w:rPr>
      </w:pPr>
      <w:r>
        <w:rPr>
          <w:rFonts w:hint="eastAsia"/>
          <w:sz w:val="30"/>
          <w:szCs w:val="30"/>
          <w:lang w:val="en-US" w:bidi="ar"/>
        </w:rPr>
        <w:t>矿区表层基岩风化、破碎，稳固性较差，力学性质属不稳定层，随着埋深的增加，岩石完整性逐渐变好，岩石强度逐渐增大,工程地质条件一般。</w:t>
      </w:r>
    </w:p>
    <w:p>
      <w:pPr>
        <w:pStyle w:val="11"/>
        <w:spacing w:line="620" w:lineRule="exact"/>
        <w:ind w:firstLine="567"/>
        <w:jc w:val="both"/>
        <w:rPr>
          <w:rFonts w:hint="eastAsia"/>
          <w:sz w:val="30"/>
          <w:szCs w:val="30"/>
        </w:rPr>
      </w:pPr>
      <w:r>
        <w:rPr>
          <w:rFonts w:hint="eastAsia"/>
          <w:sz w:val="30"/>
          <w:szCs w:val="30"/>
          <w:lang w:val="en-US" w:bidi="ar"/>
        </w:rPr>
        <w:t>（二）砂土</w:t>
      </w:r>
    </w:p>
    <w:p>
      <w:pPr>
        <w:pStyle w:val="11"/>
        <w:spacing w:line="620" w:lineRule="exact"/>
        <w:ind w:firstLine="567"/>
        <w:jc w:val="both"/>
        <w:rPr>
          <w:sz w:val="30"/>
          <w:szCs w:val="30"/>
        </w:rPr>
      </w:pPr>
      <w:r>
        <w:rPr>
          <w:rFonts w:hint="eastAsia"/>
          <w:spacing w:val="-17"/>
          <w:sz w:val="30"/>
          <w:szCs w:val="30"/>
          <w:lang w:val="en-US" w:bidi="ar"/>
        </w:rPr>
        <w:t xml:space="preserve">出露于矿区，岩性为第四系全新统风积砂、残坡积碎石、砂土。厚度 </w:t>
      </w:r>
      <w:r>
        <w:rPr>
          <w:rFonts w:hint="eastAsia"/>
          <w:spacing w:val="-4"/>
          <w:sz w:val="30"/>
          <w:szCs w:val="30"/>
          <w:lang w:val="en-US" w:bidi="ar"/>
        </w:rPr>
        <w:t xml:space="preserve">0.20～ </w:t>
      </w:r>
      <w:r>
        <w:rPr>
          <w:rFonts w:hint="eastAsia"/>
          <w:sz w:val="30"/>
          <w:szCs w:val="30"/>
          <w:lang w:val="en-US" w:bidi="ar"/>
        </w:rPr>
        <w:t>18.18m，松散～</w:t>
      </w:r>
      <w:r>
        <w:rPr>
          <w:rFonts w:hint="eastAsia"/>
          <w:spacing w:val="-6"/>
          <w:sz w:val="30"/>
          <w:szCs w:val="30"/>
          <w:lang w:val="en-US" w:bidi="ar"/>
        </w:rPr>
        <w:t xml:space="preserve">密实，承载力特征值 </w:t>
      </w:r>
      <w:r>
        <w:rPr>
          <w:rFonts w:hint="eastAsia"/>
          <w:sz w:val="30"/>
          <w:szCs w:val="30"/>
          <w:lang w:val="en-US" w:bidi="ar"/>
        </w:rPr>
        <w:t>180～230KPa，其工程地质条件一般。</w:t>
      </w:r>
    </w:p>
    <w:p>
      <w:pPr>
        <w:pStyle w:val="5"/>
        <w:widowControl/>
        <w:spacing w:line="620" w:lineRule="exact"/>
        <w:ind w:left="0" w:firstLine="567"/>
        <w:jc w:val="both"/>
        <w:rPr>
          <w:rFonts w:hint="default" w:cs="宋体"/>
          <w:sz w:val="30"/>
          <w:szCs w:val="30"/>
        </w:rPr>
      </w:pPr>
      <w:r>
        <w:rPr>
          <w:rFonts w:cs="宋体"/>
          <w:sz w:val="30"/>
          <w:szCs w:val="30"/>
        </w:rPr>
        <w:t>三、矿区工程地质勘探类型</w:t>
      </w:r>
    </w:p>
    <w:p>
      <w:pPr>
        <w:pStyle w:val="11"/>
        <w:spacing w:line="620" w:lineRule="exact"/>
        <w:ind w:firstLine="567"/>
        <w:jc w:val="both"/>
        <w:rPr>
          <w:sz w:val="30"/>
          <w:szCs w:val="30"/>
        </w:rPr>
      </w:pPr>
      <w:r>
        <w:rPr>
          <w:rFonts w:hint="eastAsia"/>
          <w:sz w:val="30"/>
          <w:szCs w:val="30"/>
          <w:lang w:val="en-US" w:bidi="ar"/>
        </w:rPr>
        <w:t>矿区岩石以碎屑沉积岩为主，岩层倾角较小，基岩属较软岩～较硬岩类，表层</w:t>
      </w:r>
      <w:r>
        <w:rPr>
          <w:rFonts w:hint="eastAsia"/>
          <w:spacing w:val="-7"/>
          <w:sz w:val="30"/>
          <w:szCs w:val="30"/>
          <w:lang w:val="en-US" w:bidi="ar"/>
        </w:rPr>
        <w:t>第四系沉积物厚度一般较小，因此，矿区工程地质勘探类型为第三类第二型，即层状</w:t>
      </w:r>
      <w:r>
        <w:rPr>
          <w:rFonts w:hint="eastAsia"/>
          <w:sz w:val="30"/>
          <w:szCs w:val="30"/>
          <w:lang w:val="en-US" w:bidi="ar"/>
        </w:rPr>
        <w:t xml:space="preserve">岩类工程地质条件中等型。 </w:t>
      </w:r>
    </w:p>
    <w:p>
      <w:pPr>
        <w:pStyle w:val="5"/>
        <w:widowControl/>
        <w:numPr>
          <w:ilvl w:val="2"/>
          <w:numId w:val="2"/>
        </w:numPr>
        <w:spacing w:line="620" w:lineRule="exact"/>
        <w:ind w:left="0" w:firstLine="567"/>
        <w:jc w:val="both"/>
        <w:rPr>
          <w:rFonts w:hint="default" w:cs="宋体"/>
          <w:sz w:val="30"/>
          <w:szCs w:val="30"/>
        </w:rPr>
      </w:pPr>
      <w:r>
        <w:rPr>
          <w:rFonts w:cs="宋体"/>
          <w:sz w:val="30"/>
          <w:szCs w:val="30"/>
        </w:rPr>
        <w:t>矿产资源储量及矿体分布特征</w:t>
      </w:r>
    </w:p>
    <w:p>
      <w:pPr>
        <w:pStyle w:val="11"/>
        <w:spacing w:line="620" w:lineRule="exact"/>
        <w:ind w:firstLine="567"/>
        <w:jc w:val="both"/>
        <w:rPr>
          <w:sz w:val="30"/>
          <w:szCs w:val="30"/>
        </w:rPr>
      </w:pPr>
      <w:r>
        <w:rPr>
          <w:rFonts w:hint="eastAsia"/>
          <w:b/>
          <w:sz w:val="30"/>
          <w:szCs w:val="30"/>
          <w:lang w:val="en-US" w:bidi="ar"/>
        </w:rPr>
        <w:t xml:space="preserve"> </w:t>
      </w:r>
      <w:r>
        <w:rPr>
          <w:sz w:val="30"/>
          <w:szCs w:val="30"/>
        </w:rPr>
        <w:t>一、矿产资源储量</w:t>
      </w:r>
    </w:p>
    <w:p>
      <w:pPr>
        <w:pStyle w:val="11"/>
        <w:spacing w:line="620" w:lineRule="exact"/>
        <w:ind w:firstLine="567"/>
        <w:jc w:val="both"/>
        <w:rPr>
          <w:spacing w:val="0"/>
          <w:sz w:val="30"/>
          <w:szCs w:val="30"/>
          <w:lang w:val="en-US" w:bidi="ar"/>
        </w:rPr>
      </w:pPr>
      <w:r>
        <w:rPr>
          <w:rFonts w:hint="eastAsia"/>
          <w:spacing w:val="0"/>
          <w:sz w:val="30"/>
          <w:szCs w:val="30"/>
          <w:lang w:val="en-US" w:bidi="ar"/>
        </w:rPr>
        <w:t>依据《内蒙古自治区桌子山煤田滴沥帮详查区乌海市滴沥帮乌素煤矿煤炭资源储量核实报告》，截止 2007 年 9月13日，该矿工业储量 17.18Mt,可采储量 12.4927Mt。详见表 1-1。</w:t>
      </w:r>
    </w:p>
    <w:p>
      <w:pPr>
        <w:pStyle w:val="11"/>
        <w:spacing w:before="160" w:line="362" w:lineRule="auto"/>
        <w:ind w:left="220" w:leftChars="100" w:right="220" w:rightChars="100" w:firstLine="200"/>
        <w:rPr>
          <w:spacing w:val="0"/>
          <w:sz w:val="30"/>
          <w:szCs w:val="30"/>
          <w:lang w:val="en-US" w:bidi="ar"/>
        </w:rPr>
      </w:pPr>
    </w:p>
    <w:p>
      <w:pPr>
        <w:pStyle w:val="11"/>
        <w:spacing w:before="160" w:line="362" w:lineRule="auto"/>
        <w:ind w:left="220" w:leftChars="100" w:right="220" w:rightChars="100" w:firstLine="200"/>
        <w:rPr>
          <w:sz w:val="30"/>
          <w:szCs w:val="30"/>
          <w:lang w:val="en-US" w:bidi="ar"/>
        </w:rPr>
      </w:pPr>
    </w:p>
    <w:p>
      <w:pPr>
        <w:pStyle w:val="11"/>
        <w:spacing w:before="160" w:line="362" w:lineRule="auto"/>
        <w:ind w:left="220" w:leftChars="100" w:right="220" w:rightChars="100" w:firstLine="200"/>
        <w:rPr>
          <w:sz w:val="30"/>
          <w:szCs w:val="30"/>
          <w:lang w:val="en-US" w:bidi="ar"/>
        </w:rPr>
      </w:pPr>
    </w:p>
    <w:p>
      <w:pPr>
        <w:pStyle w:val="11"/>
        <w:spacing w:before="160" w:line="362" w:lineRule="auto"/>
        <w:ind w:left="220" w:leftChars="100" w:right="220" w:rightChars="100" w:firstLine="200"/>
        <w:rPr>
          <w:sz w:val="30"/>
          <w:szCs w:val="30"/>
          <w:lang w:val="en-US" w:bidi="ar"/>
        </w:rPr>
      </w:pPr>
    </w:p>
    <w:p>
      <w:pPr>
        <w:pStyle w:val="11"/>
        <w:spacing w:before="160" w:line="362" w:lineRule="auto"/>
        <w:ind w:left="220" w:leftChars="100" w:right="220" w:rightChars="100" w:firstLine="200"/>
        <w:rPr>
          <w:sz w:val="30"/>
          <w:szCs w:val="30"/>
          <w:lang w:val="en-US" w:bidi="ar"/>
        </w:rPr>
      </w:pPr>
    </w:p>
    <w:p>
      <w:pPr>
        <w:pStyle w:val="11"/>
        <w:spacing w:before="160" w:line="362" w:lineRule="auto"/>
        <w:ind w:left="220" w:leftChars="100" w:right="220" w:rightChars="100" w:firstLine="200"/>
        <w:rPr>
          <w:sz w:val="30"/>
          <w:szCs w:val="30"/>
          <w:lang w:val="en-US" w:bidi="ar"/>
        </w:rPr>
      </w:pPr>
    </w:p>
    <w:p>
      <w:pPr>
        <w:pStyle w:val="11"/>
        <w:spacing w:before="160" w:line="362" w:lineRule="auto"/>
        <w:ind w:right="220" w:rightChars="100"/>
        <w:rPr>
          <w:rFonts w:hint="eastAsia"/>
          <w:sz w:val="30"/>
          <w:szCs w:val="30"/>
        </w:rPr>
      </w:pPr>
    </w:p>
    <w:p>
      <w:pPr>
        <w:spacing w:before="122"/>
        <w:ind w:left="220" w:leftChars="100" w:right="220" w:rightChars="100" w:firstLine="200"/>
        <w:jc w:val="center"/>
        <w:rPr>
          <w:b/>
          <w:sz w:val="30"/>
          <w:szCs w:val="30"/>
          <w:lang w:val="en-US" w:bidi="ar"/>
        </w:rPr>
      </w:pPr>
      <w:r>
        <w:rPr>
          <w:rFonts w:hint="eastAsia"/>
          <w:b/>
          <w:sz w:val="30"/>
          <w:szCs w:val="30"/>
          <w:lang w:val="en-US" w:bidi="ar"/>
        </w:rPr>
        <w:t>滴沥帮乌素煤矿二矿储量估算结果表</w:t>
      </w:r>
      <w:r>
        <w:rPr>
          <w:rFonts w:hint="eastAsia"/>
          <w:b/>
          <w:sz w:val="30"/>
          <w:szCs w:val="30"/>
          <w:lang w:val="en-US" w:bidi="ar"/>
        </w:rPr>
        <w:tab/>
      </w:r>
      <w:r>
        <w:rPr>
          <w:rFonts w:hint="eastAsia"/>
          <w:b/>
          <w:sz w:val="30"/>
          <w:szCs w:val="30"/>
          <w:lang w:val="en-US" w:bidi="ar"/>
        </w:rPr>
        <w:t>表</w:t>
      </w:r>
      <w:r>
        <w:rPr>
          <w:rFonts w:hint="eastAsia"/>
          <w:b/>
          <w:spacing w:val="-52"/>
          <w:sz w:val="30"/>
          <w:szCs w:val="30"/>
          <w:lang w:val="en-US" w:bidi="ar"/>
        </w:rPr>
        <w:t xml:space="preserve"> </w:t>
      </w:r>
      <w:r>
        <w:rPr>
          <w:rFonts w:hint="eastAsia"/>
          <w:b/>
          <w:sz w:val="30"/>
          <w:szCs w:val="30"/>
          <w:lang w:val="en-US" w:bidi="ar"/>
        </w:rPr>
        <w:t>1-1</w:t>
      </w:r>
    </w:p>
    <w:p>
      <w:pPr>
        <w:pStyle w:val="11"/>
        <w:spacing w:before="8"/>
        <w:rPr>
          <w:b/>
          <w:sz w:val="15"/>
          <w:szCs w:val="15"/>
        </w:rPr>
      </w:pPr>
      <w:r>
        <w:rPr>
          <w:rFonts w:hint="eastAsia"/>
          <w:b/>
          <w:sz w:val="15"/>
          <w:szCs w:val="15"/>
          <w:lang w:val="en-US" w:bidi="ar"/>
        </w:rPr>
        <w:t xml:space="preserve"> </w:t>
      </w:r>
    </w:p>
    <w:tbl>
      <w:tblPr>
        <w:tblStyle w:val="12"/>
        <w:tblW w:w="9072" w:type="dxa"/>
        <w:tblInd w:w="1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34"/>
        <w:gridCol w:w="1917"/>
        <w:gridCol w:w="1953"/>
        <w:gridCol w:w="1684"/>
        <w:gridCol w:w="198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5" w:hRule="atLeast"/>
        </w:trPr>
        <w:tc>
          <w:tcPr>
            <w:tcW w:w="1534" w:type="dxa"/>
            <w:tcBorders>
              <w:top w:val="single" w:color="000000" w:sz="12"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76" w:lineRule="auto"/>
              <w:ind w:left="0" w:right="0" w:firstLine="0"/>
              <w:jc w:val="center"/>
              <w:textAlignment w:val="auto"/>
              <w:rPr>
                <w:rFonts w:hint="default"/>
                <w:sz w:val="24"/>
                <w:szCs w:val="24"/>
              </w:rPr>
            </w:pPr>
            <w:r>
              <w:rPr>
                <w:rFonts w:cs="宋体"/>
                <w:sz w:val="24"/>
                <w:szCs w:val="24"/>
              </w:rPr>
              <w:t>煤层编号</w:t>
            </w:r>
          </w:p>
        </w:tc>
        <w:tc>
          <w:tcPr>
            <w:tcW w:w="1917" w:type="dxa"/>
            <w:tcBorders>
              <w:top w:val="single" w:color="000000" w:sz="12" w:space="0"/>
              <w:left w:val="nil"/>
              <w:bottom w:val="single" w:color="000000" w:sz="6" w:space="0"/>
              <w:right w:val="single" w:color="000000" w:sz="4"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工业储量（Mt）</w:t>
            </w:r>
          </w:p>
        </w:tc>
        <w:tc>
          <w:tcPr>
            <w:tcW w:w="1953" w:type="dxa"/>
            <w:tcBorders>
              <w:top w:val="single" w:color="000000" w:sz="12" w:space="0"/>
              <w:left w:val="nil"/>
              <w:bottom w:val="single" w:color="000000" w:sz="6" w:space="0"/>
              <w:right w:val="single" w:color="000000" w:sz="4"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剩余储量（Mt）</w:t>
            </w:r>
          </w:p>
        </w:tc>
        <w:tc>
          <w:tcPr>
            <w:tcW w:w="1684" w:type="dxa"/>
            <w:tcBorders>
              <w:top w:val="single" w:color="000000" w:sz="12" w:space="0"/>
              <w:left w:val="nil"/>
              <w:bottom w:val="single" w:color="000000" w:sz="8" w:space="0"/>
              <w:right w:val="single" w:color="000000" w:sz="4"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cs="宋体"/>
                <w:sz w:val="24"/>
                <w:szCs w:val="24"/>
              </w:rPr>
            </w:pPr>
            <w:r>
              <w:rPr>
                <w:rFonts w:cs="宋体"/>
                <w:sz w:val="24"/>
                <w:szCs w:val="24"/>
              </w:rPr>
              <w:t>采区</w:t>
            </w:r>
          </w:p>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pacing w:val="-6"/>
                <w:sz w:val="24"/>
                <w:szCs w:val="24"/>
              </w:rPr>
              <w:t>回采率</w:t>
            </w:r>
          </w:p>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w:t>
            </w:r>
          </w:p>
        </w:tc>
        <w:tc>
          <w:tcPr>
            <w:tcW w:w="1984" w:type="dxa"/>
            <w:tcBorders>
              <w:top w:val="single" w:color="000000" w:sz="12"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cs="宋体"/>
                <w:spacing w:val="-7"/>
                <w:sz w:val="24"/>
                <w:szCs w:val="24"/>
              </w:rPr>
            </w:pPr>
            <w:r>
              <w:rPr>
                <w:rFonts w:cs="宋体"/>
                <w:spacing w:val="-7"/>
                <w:sz w:val="24"/>
                <w:szCs w:val="24"/>
              </w:rPr>
              <w:t>设计可采储量</w:t>
            </w:r>
          </w:p>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pacing w:val="-3"/>
                <w:sz w:val="24"/>
                <w:szCs w:val="24"/>
              </w:rPr>
              <w:t>（Mt）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5"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1.448</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1.1908</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85</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1.0122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9-1</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2.517</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2.1999</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80</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1.7599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9-2</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2.081</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1.851</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85</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1.573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10</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1.254</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1.0946</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85</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0.9304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16-1</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4.014</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3.4203</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80</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2.9082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16-2</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1.23</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1.0748</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85</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0.9136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16-3</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2.075</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1.8916</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80</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1.5133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534"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17</w:t>
            </w:r>
          </w:p>
        </w:tc>
        <w:tc>
          <w:tcPr>
            <w:tcW w:w="1917"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2.561</w:t>
            </w:r>
          </w:p>
        </w:tc>
        <w:tc>
          <w:tcPr>
            <w:tcW w:w="1953"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2.3521</w:t>
            </w:r>
          </w:p>
        </w:tc>
        <w:tc>
          <w:tcPr>
            <w:tcW w:w="1684" w:type="dxa"/>
            <w:tcBorders>
              <w:top w:val="single" w:color="000000" w:sz="8" w:space="0"/>
              <w:left w:val="nil"/>
              <w:bottom w:val="single" w:color="000000" w:sz="8"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80</w:t>
            </w:r>
          </w:p>
        </w:tc>
        <w:tc>
          <w:tcPr>
            <w:tcW w:w="1984" w:type="dxa"/>
            <w:tcBorders>
              <w:top w:val="single" w:color="000000" w:sz="8" w:space="0"/>
              <w:left w:val="nil"/>
              <w:bottom w:val="single" w:color="000000" w:sz="8"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1.8817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534" w:type="dxa"/>
            <w:tcBorders>
              <w:top w:val="single" w:color="000000" w:sz="6" w:space="0"/>
              <w:left w:val="single" w:color="000000" w:sz="12" w:space="0"/>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w:t>
            </w:r>
          </w:p>
        </w:tc>
        <w:tc>
          <w:tcPr>
            <w:tcW w:w="1917"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17.18</w:t>
            </w:r>
          </w:p>
        </w:tc>
        <w:tc>
          <w:tcPr>
            <w:tcW w:w="1953"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14.7462</w:t>
            </w:r>
          </w:p>
        </w:tc>
        <w:tc>
          <w:tcPr>
            <w:tcW w:w="1684" w:type="dxa"/>
            <w:tcBorders>
              <w:top w:val="single" w:color="000000" w:sz="8"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ascii="Times New Roman"/>
                <w:sz w:val="24"/>
                <w:szCs w:val="24"/>
              </w:rPr>
            </w:pPr>
          </w:p>
        </w:tc>
        <w:tc>
          <w:tcPr>
            <w:tcW w:w="1984" w:type="dxa"/>
            <w:tcBorders>
              <w:top w:val="single" w:color="000000" w:sz="8" w:space="0"/>
              <w:left w:val="nil"/>
              <w:bottom w:val="single" w:color="000000" w:sz="12"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firstLine="0"/>
              <w:jc w:val="center"/>
              <w:textAlignment w:val="auto"/>
              <w:rPr>
                <w:rFonts w:hint="default"/>
                <w:sz w:val="24"/>
                <w:szCs w:val="24"/>
              </w:rPr>
            </w:pPr>
            <w:r>
              <w:rPr>
                <w:rFonts w:cs="宋体"/>
                <w:sz w:val="24"/>
                <w:szCs w:val="24"/>
              </w:rPr>
              <w:t>12.4927</w:t>
            </w:r>
          </w:p>
        </w:tc>
      </w:tr>
    </w:tbl>
    <w:p>
      <w:pPr>
        <w:pStyle w:val="5"/>
        <w:widowControl/>
        <w:spacing w:line="620" w:lineRule="exact"/>
        <w:ind w:left="0" w:firstLine="602" w:firstLineChars="200"/>
        <w:jc w:val="both"/>
        <w:rPr>
          <w:rFonts w:hint="default" w:cs="宋体"/>
          <w:sz w:val="30"/>
          <w:szCs w:val="30"/>
        </w:rPr>
      </w:pPr>
      <w:r>
        <w:rPr>
          <w:rFonts w:cs="宋体"/>
          <w:sz w:val="30"/>
          <w:szCs w:val="30"/>
        </w:rPr>
        <w:t>二、煤层特征</w:t>
      </w:r>
    </w:p>
    <w:p>
      <w:pPr>
        <w:pStyle w:val="11"/>
        <w:spacing w:line="620" w:lineRule="exact"/>
        <w:ind w:firstLine="600" w:firstLineChars="200"/>
        <w:jc w:val="both"/>
        <w:rPr>
          <w:sz w:val="30"/>
          <w:szCs w:val="30"/>
        </w:rPr>
      </w:pPr>
      <w:r>
        <w:rPr>
          <w:rFonts w:hint="eastAsia"/>
          <w:sz w:val="30"/>
          <w:szCs w:val="30"/>
          <w:lang w:val="en-US" w:bidi="ar"/>
        </w:rPr>
        <w:t>该矿可采煤层为 8、9-1、9-2、10、16-1、16-2、16-3 和 17 号共 8 个煤层，自上而下分述如下：</w:t>
      </w:r>
    </w:p>
    <w:p>
      <w:pPr>
        <w:pStyle w:val="11"/>
        <w:spacing w:line="620" w:lineRule="exact"/>
        <w:ind w:firstLine="600" w:firstLineChars="200"/>
        <w:jc w:val="both"/>
        <w:rPr>
          <w:sz w:val="30"/>
          <w:szCs w:val="30"/>
        </w:rPr>
      </w:pPr>
      <w:r>
        <w:rPr>
          <w:rFonts w:hint="eastAsia"/>
          <w:sz w:val="30"/>
          <w:szCs w:val="30"/>
          <w:lang w:val="en-US" w:bidi="ar"/>
        </w:rPr>
        <w:t>1、8</w:t>
      </w:r>
      <w:r>
        <w:rPr>
          <w:rFonts w:hint="eastAsia"/>
          <w:position w:val="12"/>
          <w:sz w:val="30"/>
          <w:szCs w:val="30"/>
          <w:lang w:val="en-US" w:bidi="ar"/>
        </w:rPr>
        <w:t>#</w:t>
      </w:r>
      <w:r>
        <w:rPr>
          <w:rFonts w:hint="eastAsia"/>
          <w:sz w:val="30"/>
          <w:szCs w:val="30"/>
          <w:lang w:val="en-US" w:bidi="ar"/>
        </w:rPr>
        <w:t>煤层：位于二叠系山西组第一岩段（P</w:t>
      </w:r>
      <w:r>
        <w:rPr>
          <w:rFonts w:hint="eastAsia"/>
          <w:position w:val="-2"/>
          <w:sz w:val="30"/>
          <w:szCs w:val="30"/>
          <w:lang w:val="en-US" w:bidi="ar"/>
        </w:rPr>
        <w:t>1</w:t>
      </w:r>
      <w:r>
        <w:rPr>
          <w:rFonts w:hint="eastAsia"/>
          <w:sz w:val="30"/>
          <w:szCs w:val="30"/>
          <w:lang w:val="en-US" w:bidi="ar"/>
        </w:rPr>
        <w:t>s）的中部，煤层厚度 0.76～1.81m，平均 1.28m。属大部可采煤层，含 0～3 层夹矸。底板岩性为泥岩、砂质泥岩，顶板岩性为灰色砂质泥岩及细粉砂岩。</w:t>
      </w:r>
    </w:p>
    <w:p>
      <w:pPr>
        <w:pStyle w:val="11"/>
        <w:spacing w:line="620" w:lineRule="exact"/>
        <w:ind w:firstLine="600" w:firstLineChars="200"/>
        <w:jc w:val="both"/>
        <w:rPr>
          <w:sz w:val="30"/>
          <w:szCs w:val="30"/>
        </w:rPr>
      </w:pPr>
      <w:r>
        <w:rPr>
          <w:rFonts w:hint="eastAsia"/>
          <w:sz w:val="30"/>
          <w:szCs w:val="30"/>
          <w:lang w:val="en-US" w:bidi="ar"/>
        </w:rPr>
        <w:t>2、9-1</w:t>
      </w:r>
      <w:r>
        <w:rPr>
          <w:rFonts w:hint="eastAsia"/>
          <w:position w:val="12"/>
          <w:sz w:val="30"/>
          <w:szCs w:val="30"/>
          <w:lang w:val="en-US" w:bidi="ar"/>
        </w:rPr>
        <w:t>#</w:t>
      </w:r>
      <w:r>
        <w:rPr>
          <w:rFonts w:hint="eastAsia"/>
          <w:sz w:val="30"/>
          <w:szCs w:val="30"/>
          <w:lang w:val="en-US" w:bidi="ar"/>
        </w:rPr>
        <w:t>煤层：位于山西组第一岩段（P s）中部，全区发育并可采。煤层利用厚度为 0.59～2.499m，平均 1.53m。含 0～8 层夹矸。顶板岩性为灰褐色泥岩，底板岩性为灰黑色泥岩及粘土岩</w:t>
      </w:r>
    </w:p>
    <w:p>
      <w:pPr>
        <w:pStyle w:val="11"/>
        <w:spacing w:line="620" w:lineRule="exact"/>
        <w:ind w:firstLine="600" w:firstLineChars="200"/>
        <w:jc w:val="both"/>
        <w:rPr>
          <w:sz w:val="30"/>
          <w:szCs w:val="30"/>
        </w:rPr>
      </w:pPr>
      <w:r>
        <w:rPr>
          <w:rFonts w:hint="eastAsia"/>
          <w:sz w:val="30"/>
          <w:szCs w:val="30"/>
          <w:lang w:val="en-US" w:bidi="ar"/>
        </w:rPr>
        <w:t>3、9-2</w:t>
      </w:r>
      <w:r>
        <w:rPr>
          <w:rFonts w:hint="eastAsia"/>
          <w:position w:val="12"/>
          <w:sz w:val="30"/>
          <w:szCs w:val="30"/>
          <w:lang w:val="en-US" w:bidi="ar"/>
        </w:rPr>
        <w:t>#</w:t>
      </w:r>
      <w:r>
        <w:rPr>
          <w:rFonts w:hint="eastAsia"/>
          <w:sz w:val="30"/>
          <w:szCs w:val="30"/>
          <w:lang w:val="en-US" w:bidi="ar"/>
        </w:rPr>
        <w:t>煤层：位于山西组第一岩段（Ps）中部，全区发育并可采。煤层利用厚度为 0.87～1.60m，平均 1.24m。含 0～3 层夹矸。顶板岩性为泥岩，底板岩性为灰黑色泥岩及细粉砂岩。</w:t>
      </w:r>
    </w:p>
    <w:p>
      <w:pPr>
        <w:pStyle w:val="11"/>
        <w:spacing w:line="620" w:lineRule="exact"/>
        <w:ind w:firstLine="600" w:firstLineChars="200"/>
        <w:jc w:val="both"/>
        <w:rPr>
          <w:sz w:val="30"/>
          <w:szCs w:val="30"/>
        </w:rPr>
      </w:pPr>
      <w:r>
        <w:rPr>
          <w:rFonts w:hint="eastAsia"/>
          <w:sz w:val="30"/>
          <w:szCs w:val="30"/>
          <w:lang w:val="en-US" w:bidi="ar"/>
        </w:rPr>
        <w:t>4、10</w:t>
      </w:r>
      <w:r>
        <w:rPr>
          <w:rFonts w:hint="eastAsia"/>
          <w:position w:val="12"/>
          <w:sz w:val="30"/>
          <w:szCs w:val="30"/>
          <w:lang w:val="en-US" w:bidi="ar"/>
        </w:rPr>
        <w:t>#</w:t>
      </w:r>
      <w:r>
        <w:rPr>
          <w:rFonts w:hint="eastAsia"/>
          <w:sz w:val="30"/>
          <w:szCs w:val="30"/>
          <w:lang w:val="en-US" w:bidi="ar"/>
        </w:rPr>
        <w:t>煤层：位于山西组第一岩段（P s）下部，全区发育并可采。煤层厚度 0.32～1.33m，平均 0.82m。含 0～1 层夹矸。顶板岩性为泥岩，底板岩性为细粉砂岩。</w:t>
      </w:r>
    </w:p>
    <w:p>
      <w:pPr>
        <w:pStyle w:val="11"/>
        <w:spacing w:line="620" w:lineRule="exact"/>
        <w:ind w:firstLine="600" w:firstLineChars="200"/>
        <w:jc w:val="both"/>
        <w:rPr>
          <w:sz w:val="30"/>
          <w:szCs w:val="30"/>
        </w:rPr>
      </w:pPr>
      <w:r>
        <w:rPr>
          <w:rFonts w:hint="eastAsia"/>
          <w:sz w:val="30"/>
          <w:szCs w:val="30"/>
          <w:lang w:val="en-US" w:bidi="ar"/>
        </w:rPr>
        <w:t>5、16-1</w:t>
      </w:r>
      <w:r>
        <w:rPr>
          <w:rFonts w:hint="eastAsia"/>
          <w:position w:val="12"/>
          <w:sz w:val="30"/>
          <w:szCs w:val="30"/>
          <w:lang w:val="en-US" w:bidi="ar"/>
        </w:rPr>
        <w:t>#</w:t>
      </w:r>
      <w:r>
        <w:rPr>
          <w:rFonts w:hint="eastAsia"/>
          <w:sz w:val="30"/>
          <w:szCs w:val="30"/>
          <w:lang w:val="en-US" w:bidi="ar"/>
        </w:rPr>
        <w:t>煤层：位于石炭系太原组（C t）第一岩段中上部，全区可采。煤层厚度1.32～4.25m，平均 2.77m。含 0～4 层夹矸，夹矸岩性为泥岩。顶板岩性为深灰色泥岩或砂质泥岩，底板岩性为灰黑色泥岩。</w:t>
      </w:r>
    </w:p>
    <w:p>
      <w:pPr>
        <w:pStyle w:val="11"/>
        <w:spacing w:line="620" w:lineRule="exact"/>
        <w:ind w:firstLine="600" w:firstLineChars="200"/>
        <w:jc w:val="both"/>
        <w:rPr>
          <w:sz w:val="30"/>
          <w:szCs w:val="30"/>
        </w:rPr>
      </w:pPr>
      <w:r>
        <w:rPr>
          <w:rFonts w:hint="eastAsia"/>
          <w:sz w:val="30"/>
          <w:szCs w:val="30"/>
          <w:lang w:val="en-US" w:bidi="ar"/>
        </w:rPr>
        <w:t>6、16-2</w:t>
      </w:r>
      <w:r>
        <w:rPr>
          <w:rFonts w:hint="eastAsia"/>
          <w:position w:val="12"/>
          <w:sz w:val="30"/>
          <w:szCs w:val="30"/>
          <w:lang w:val="en-US" w:bidi="ar"/>
        </w:rPr>
        <w:t>#</w:t>
      </w:r>
      <w:r>
        <w:rPr>
          <w:rFonts w:hint="eastAsia"/>
          <w:sz w:val="30"/>
          <w:szCs w:val="30"/>
          <w:lang w:val="en-US" w:bidi="ar"/>
        </w:rPr>
        <w:t>煤层：位于 16-1 号煤层下部，局部可采。煤层厚度 0.30～1.25m，平均0.76m。含 0～2 层夹矸。顶板岩性为泥岩、砂质泥岩及细砂岩，底板岩性为灰色细、粉砂岩或砂泥岩。</w:t>
      </w:r>
    </w:p>
    <w:p>
      <w:pPr>
        <w:pStyle w:val="11"/>
        <w:spacing w:line="620" w:lineRule="exact"/>
        <w:ind w:firstLine="600" w:firstLineChars="200"/>
        <w:jc w:val="both"/>
        <w:rPr>
          <w:sz w:val="30"/>
          <w:szCs w:val="30"/>
        </w:rPr>
      </w:pPr>
      <w:r>
        <w:rPr>
          <w:rFonts w:hint="eastAsia"/>
          <w:sz w:val="30"/>
          <w:szCs w:val="30"/>
          <w:lang w:val="en-US" w:bidi="ar"/>
        </w:rPr>
        <w:t>7、16-3</w:t>
      </w:r>
      <w:r>
        <w:rPr>
          <w:rFonts w:hint="eastAsia"/>
          <w:position w:val="12"/>
          <w:sz w:val="30"/>
          <w:szCs w:val="30"/>
          <w:lang w:val="en-US" w:bidi="ar"/>
        </w:rPr>
        <w:t>#</w:t>
      </w:r>
      <w:r>
        <w:rPr>
          <w:rFonts w:hint="eastAsia"/>
          <w:sz w:val="30"/>
          <w:szCs w:val="30"/>
          <w:lang w:val="en-US" w:bidi="ar"/>
        </w:rPr>
        <w:t>煤层：位于 16-2 号煤层下部，全区可采。煤层厚度 0.72～2.06m，平均1.39m。含 0～3 层夹矸。顶板岩性为泥岩及细粉砂岩，底板岩性为灰色细、粉砂岩或泥岩。</w:t>
      </w:r>
    </w:p>
    <w:p>
      <w:pPr>
        <w:pStyle w:val="11"/>
        <w:spacing w:line="620" w:lineRule="exact"/>
        <w:ind w:firstLine="600" w:firstLineChars="200"/>
        <w:jc w:val="both"/>
        <w:rPr>
          <w:sz w:val="30"/>
          <w:szCs w:val="30"/>
        </w:rPr>
      </w:pPr>
      <w:r>
        <w:rPr>
          <w:rFonts w:hint="eastAsia"/>
          <w:sz w:val="30"/>
          <w:szCs w:val="30"/>
          <w:lang w:val="en-US" w:bidi="ar"/>
        </w:rPr>
        <w:t>8、17</w:t>
      </w:r>
      <w:r>
        <w:rPr>
          <w:rFonts w:hint="eastAsia"/>
          <w:position w:val="12"/>
          <w:sz w:val="30"/>
          <w:szCs w:val="30"/>
          <w:lang w:val="en-US" w:bidi="ar"/>
        </w:rPr>
        <w:t>#</w:t>
      </w:r>
      <w:r>
        <w:rPr>
          <w:rFonts w:hint="eastAsia"/>
          <w:sz w:val="30"/>
          <w:szCs w:val="30"/>
          <w:lang w:val="en-US" w:bidi="ar"/>
        </w:rPr>
        <w:t xml:space="preserve">煤层：位于 16-3 号煤层下部，大部可采。煤层厚度 0.46～2.72m，平均1.59m。含 0～4 层夹矸。顶板岩性为泥岩及砂质泥岩，底板岩性为灰色细、粉砂岩或粘土岩。 </w:t>
      </w:r>
    </w:p>
    <w:p>
      <w:pPr>
        <w:pStyle w:val="3"/>
        <w:widowControl/>
        <w:ind w:left="301"/>
        <w:jc w:val="center"/>
        <w:rPr>
          <w:rFonts w:hint="eastAsia" w:ascii="宋体" w:hAnsi="宋体" w:eastAsia="宋体" w:cs="宋体"/>
          <w:b/>
          <w:bCs/>
          <w:sz w:val="30"/>
        </w:rPr>
      </w:pPr>
      <w:bookmarkStart w:id="3" w:name="_Toc7868"/>
      <w:r>
        <w:rPr>
          <w:rFonts w:hint="eastAsia" w:ascii="宋体" w:hAnsi="宋体" w:eastAsia="宋体" w:cs="宋体"/>
          <w:b/>
          <w:bCs/>
          <w:sz w:val="30"/>
        </w:rPr>
        <w:t>第三节   矿山概况</w:t>
      </w:r>
      <w:bookmarkEnd w:id="3"/>
    </w:p>
    <w:p>
      <w:pPr>
        <w:pStyle w:val="5"/>
        <w:widowControl/>
        <w:numPr>
          <w:ilvl w:val="2"/>
          <w:numId w:val="3"/>
        </w:numPr>
        <w:spacing w:before="1"/>
        <w:rPr>
          <w:rFonts w:hint="default" w:cs="宋体"/>
          <w:sz w:val="30"/>
          <w:szCs w:val="30"/>
        </w:rPr>
      </w:pPr>
      <w:r>
        <w:rPr>
          <w:rFonts w:cs="宋体"/>
          <w:sz w:val="30"/>
          <w:szCs w:val="30"/>
        </w:rPr>
        <w:t>矿山企业概况</w:t>
      </w:r>
    </w:p>
    <w:p>
      <w:pPr>
        <w:pStyle w:val="11"/>
        <w:spacing w:line="620" w:lineRule="exact"/>
        <w:ind w:firstLine="602" w:firstLineChars="200"/>
        <w:jc w:val="both"/>
        <w:rPr>
          <w:color w:val="auto"/>
          <w:sz w:val="30"/>
          <w:szCs w:val="30"/>
        </w:rPr>
      </w:pPr>
      <w:r>
        <w:rPr>
          <w:rFonts w:hint="eastAsia"/>
          <w:b/>
          <w:color w:val="auto"/>
          <w:sz w:val="30"/>
          <w:szCs w:val="30"/>
          <w:lang w:val="en-US" w:bidi="ar"/>
        </w:rPr>
        <w:t xml:space="preserve"> </w:t>
      </w:r>
      <w:r>
        <w:rPr>
          <w:rFonts w:hint="eastAsia"/>
          <w:color w:val="auto"/>
          <w:spacing w:val="-4"/>
          <w:sz w:val="30"/>
          <w:szCs w:val="30"/>
          <w:lang w:val="en-US" w:bidi="ar"/>
        </w:rPr>
        <w:t>矿山采矿权人为</w:t>
      </w:r>
      <w:r>
        <w:rPr>
          <w:rFonts w:hint="eastAsia"/>
          <w:color w:val="auto"/>
          <w:spacing w:val="-4"/>
          <w:sz w:val="30"/>
          <w:szCs w:val="30"/>
          <w:lang w:val="en-US" w:eastAsia="zh-CN" w:bidi="ar"/>
        </w:rPr>
        <w:t>内蒙古黄河工贸集团滴沥帮煤炭有限公司煤矿</w:t>
      </w:r>
      <w:r>
        <w:rPr>
          <w:rFonts w:hint="eastAsia"/>
          <w:color w:val="auto"/>
          <w:spacing w:val="-4"/>
          <w:sz w:val="30"/>
          <w:szCs w:val="30"/>
          <w:lang w:val="en-US" w:bidi="ar"/>
        </w:rPr>
        <w:t>，</w:t>
      </w:r>
      <w:r>
        <w:rPr>
          <w:rFonts w:hint="eastAsia"/>
          <w:color w:val="auto"/>
          <w:spacing w:val="-4"/>
          <w:sz w:val="30"/>
          <w:szCs w:val="30"/>
          <w:lang w:val="en-US" w:eastAsia="zh-CN" w:bidi="ar"/>
        </w:rPr>
        <w:t>煤矿处于资源整合停产状态</w:t>
      </w:r>
      <w:r>
        <w:rPr>
          <w:rFonts w:hint="eastAsia"/>
          <w:color w:val="auto"/>
          <w:spacing w:val="-1"/>
          <w:sz w:val="30"/>
          <w:szCs w:val="30"/>
          <w:lang w:val="en-US" w:bidi="ar"/>
        </w:rPr>
        <w:t>，法人代表：</w:t>
      </w:r>
      <w:r>
        <w:rPr>
          <w:rFonts w:hint="eastAsia"/>
          <w:color w:val="auto"/>
          <w:spacing w:val="-1"/>
          <w:sz w:val="30"/>
          <w:szCs w:val="30"/>
          <w:lang w:val="en-US" w:eastAsia="zh-CN" w:bidi="ar"/>
        </w:rPr>
        <w:t>李天贵</w:t>
      </w:r>
      <w:r>
        <w:rPr>
          <w:rFonts w:hint="eastAsia"/>
          <w:color w:val="auto"/>
          <w:spacing w:val="-1"/>
          <w:sz w:val="30"/>
          <w:szCs w:val="30"/>
          <w:lang w:val="en-US" w:bidi="ar"/>
        </w:rPr>
        <w:t>。</w:t>
      </w:r>
    </w:p>
    <w:p>
      <w:pPr>
        <w:pStyle w:val="5"/>
        <w:widowControl/>
        <w:numPr>
          <w:ilvl w:val="2"/>
          <w:numId w:val="3"/>
        </w:numPr>
        <w:spacing w:line="620" w:lineRule="exact"/>
        <w:ind w:left="0" w:firstLine="602" w:firstLineChars="200"/>
        <w:jc w:val="both"/>
        <w:rPr>
          <w:rFonts w:hint="default" w:cs="宋体"/>
          <w:sz w:val="30"/>
          <w:szCs w:val="30"/>
        </w:rPr>
      </w:pPr>
      <w:r>
        <w:rPr>
          <w:rFonts w:cs="宋体"/>
          <w:sz w:val="30"/>
          <w:szCs w:val="30"/>
        </w:rPr>
        <w:t>矿山历史沿革、开采现状</w:t>
      </w:r>
    </w:p>
    <w:p>
      <w:pPr>
        <w:pStyle w:val="11"/>
        <w:spacing w:line="620" w:lineRule="exact"/>
        <w:ind w:firstLine="602" w:firstLineChars="200"/>
        <w:jc w:val="both"/>
        <w:rPr>
          <w:sz w:val="30"/>
          <w:szCs w:val="30"/>
        </w:rPr>
      </w:pPr>
      <w:r>
        <w:rPr>
          <w:rFonts w:hint="eastAsia"/>
          <w:b/>
          <w:sz w:val="30"/>
          <w:szCs w:val="30"/>
          <w:lang w:val="en-US" w:bidi="ar"/>
        </w:rPr>
        <w:t xml:space="preserve"> </w:t>
      </w:r>
      <w:r>
        <w:rPr>
          <w:sz w:val="30"/>
          <w:szCs w:val="30"/>
        </w:rPr>
        <w:t>一、矿山历史沿革</w:t>
      </w:r>
    </w:p>
    <w:p>
      <w:pPr>
        <w:pStyle w:val="11"/>
        <w:spacing w:line="620" w:lineRule="exact"/>
        <w:ind w:firstLine="584" w:firstLineChars="200"/>
        <w:jc w:val="both"/>
        <w:rPr>
          <w:sz w:val="30"/>
          <w:szCs w:val="30"/>
        </w:rPr>
      </w:pPr>
      <w:r>
        <w:rPr>
          <w:rFonts w:hint="eastAsia"/>
          <w:spacing w:val="-4"/>
          <w:sz w:val="30"/>
          <w:szCs w:val="30"/>
          <w:lang w:val="en-US" w:eastAsia="zh-CN" w:bidi="ar"/>
        </w:rPr>
        <w:t>内蒙古黄河工贸集团滴沥帮煤炭有限公司煤矿</w:t>
      </w:r>
      <w:r>
        <w:rPr>
          <w:rFonts w:hint="eastAsia"/>
          <w:spacing w:val="-4"/>
          <w:sz w:val="30"/>
          <w:szCs w:val="30"/>
          <w:lang w:val="en-US" w:bidi="ar"/>
        </w:rPr>
        <w:t xml:space="preserve">始建于 </w:t>
      </w:r>
      <w:r>
        <w:rPr>
          <w:sz w:val="30"/>
          <w:szCs w:val="30"/>
          <w:lang w:val="en-US" w:bidi="ar"/>
        </w:rPr>
        <w:t xml:space="preserve">2002 </w:t>
      </w:r>
      <w:r>
        <w:rPr>
          <w:rFonts w:hint="eastAsia"/>
          <w:spacing w:val="-19"/>
          <w:sz w:val="30"/>
          <w:szCs w:val="30"/>
          <w:lang w:val="en-US" w:bidi="ar"/>
        </w:rPr>
        <w:t xml:space="preserve">年，年产 </w:t>
      </w:r>
      <w:r>
        <w:rPr>
          <w:spacing w:val="-5"/>
          <w:sz w:val="30"/>
          <w:szCs w:val="30"/>
          <w:lang w:val="en-US" w:bidi="ar"/>
        </w:rPr>
        <w:t>0.15Mt</w:t>
      </w:r>
      <w:r>
        <w:rPr>
          <w:rFonts w:hint="eastAsia"/>
          <w:spacing w:val="-2"/>
          <w:sz w:val="30"/>
          <w:szCs w:val="30"/>
          <w:lang w:val="en-US" w:bidi="ar"/>
        </w:rPr>
        <w:t>，采用两竖</w:t>
      </w:r>
      <w:r>
        <w:rPr>
          <w:sz w:val="30"/>
          <w:szCs w:val="30"/>
          <w:lang w:val="en-US" w:bidi="ar"/>
        </w:rPr>
        <w:t>-</w:t>
      </w:r>
      <w:r>
        <w:rPr>
          <w:rFonts w:hint="eastAsia"/>
          <w:spacing w:val="-3"/>
          <w:sz w:val="30"/>
          <w:szCs w:val="30"/>
          <w:lang w:val="en-US" w:bidi="ar"/>
        </w:rPr>
        <w:t>斜混合开拓</w:t>
      </w:r>
      <w:r>
        <w:rPr>
          <w:rFonts w:hint="eastAsia"/>
          <w:spacing w:val="-4"/>
          <w:sz w:val="30"/>
          <w:szCs w:val="30"/>
          <w:lang w:val="en-US" w:bidi="ar"/>
        </w:rPr>
        <w:t>方式。</w:t>
      </w:r>
      <w:r>
        <w:rPr>
          <w:sz w:val="30"/>
          <w:szCs w:val="30"/>
          <w:lang w:val="en-US" w:bidi="ar"/>
        </w:rPr>
        <w:t xml:space="preserve">2005 </w:t>
      </w:r>
      <w:r>
        <w:rPr>
          <w:rFonts w:hint="eastAsia"/>
          <w:spacing w:val="-5"/>
          <w:sz w:val="30"/>
          <w:szCs w:val="30"/>
          <w:lang w:val="en-US" w:bidi="ar"/>
        </w:rPr>
        <w:t xml:space="preserve">年煤矿进行第二次技术改造，并于 </w:t>
      </w:r>
      <w:r>
        <w:rPr>
          <w:sz w:val="30"/>
          <w:szCs w:val="30"/>
          <w:lang w:val="en-US" w:bidi="ar"/>
        </w:rPr>
        <w:t xml:space="preserve">2007 </w:t>
      </w:r>
      <w:r>
        <w:rPr>
          <w:rFonts w:hint="eastAsia"/>
          <w:spacing w:val="-30"/>
          <w:sz w:val="30"/>
          <w:szCs w:val="30"/>
          <w:lang w:val="en-US" w:bidi="ar"/>
        </w:rPr>
        <w:t xml:space="preserve">年 </w:t>
      </w:r>
      <w:r>
        <w:rPr>
          <w:sz w:val="30"/>
          <w:szCs w:val="30"/>
          <w:lang w:val="en-US" w:bidi="ar"/>
        </w:rPr>
        <w:t xml:space="preserve">3 </w:t>
      </w:r>
      <w:r>
        <w:rPr>
          <w:rFonts w:hint="eastAsia"/>
          <w:spacing w:val="-3"/>
          <w:sz w:val="30"/>
          <w:szCs w:val="30"/>
          <w:lang w:val="en-US" w:bidi="ar"/>
        </w:rPr>
        <w:t>月取得采矿许可证，改造后</w:t>
      </w:r>
      <w:r>
        <w:rPr>
          <w:rFonts w:hint="eastAsia"/>
          <w:spacing w:val="-7"/>
          <w:sz w:val="30"/>
          <w:szCs w:val="30"/>
          <w:lang w:val="en-US" w:bidi="ar"/>
        </w:rPr>
        <w:t xml:space="preserve">的矿井生产规模为 </w:t>
      </w:r>
      <w:r>
        <w:rPr>
          <w:sz w:val="30"/>
          <w:szCs w:val="30"/>
          <w:lang w:val="en-US" w:bidi="ar"/>
        </w:rPr>
        <w:t>0.3Mt/a</w:t>
      </w:r>
      <w:r>
        <w:rPr>
          <w:rFonts w:hint="eastAsia"/>
          <w:sz w:val="30"/>
          <w:szCs w:val="30"/>
          <w:lang w:val="en-US" w:bidi="ar"/>
        </w:rPr>
        <w:t>，开拓方式仍为二立一斜混合开拓。</w:t>
      </w:r>
    </w:p>
    <w:p>
      <w:pPr>
        <w:pStyle w:val="5"/>
        <w:widowControl/>
        <w:spacing w:line="620" w:lineRule="exact"/>
        <w:ind w:left="0" w:firstLine="602" w:firstLineChars="200"/>
        <w:jc w:val="both"/>
        <w:rPr>
          <w:rFonts w:hint="default" w:cs="宋体"/>
          <w:sz w:val="30"/>
          <w:szCs w:val="30"/>
        </w:rPr>
      </w:pPr>
      <w:r>
        <w:rPr>
          <w:rFonts w:cs="宋体"/>
          <w:sz w:val="30"/>
          <w:szCs w:val="30"/>
        </w:rPr>
        <w:t>二、开采现状</w:t>
      </w:r>
    </w:p>
    <w:p>
      <w:pPr>
        <w:pStyle w:val="11"/>
        <w:spacing w:line="620" w:lineRule="exact"/>
        <w:ind w:firstLine="588" w:firstLineChars="200"/>
        <w:jc w:val="both"/>
        <w:rPr>
          <w:sz w:val="30"/>
          <w:szCs w:val="30"/>
        </w:rPr>
      </w:pPr>
      <w:r>
        <w:rPr>
          <w:rFonts w:hint="eastAsia"/>
          <w:spacing w:val="-3"/>
          <w:sz w:val="30"/>
          <w:szCs w:val="30"/>
          <w:lang w:val="en-US" w:bidi="ar"/>
        </w:rPr>
        <w:t xml:space="preserve">目前矿山生产规模为 </w:t>
      </w:r>
      <w:r>
        <w:rPr>
          <w:sz w:val="30"/>
          <w:szCs w:val="30"/>
          <w:lang w:val="en-US" w:bidi="ar"/>
        </w:rPr>
        <w:t>0.3Mt/a</w:t>
      </w:r>
      <w:r>
        <w:rPr>
          <w:rFonts w:hint="eastAsia"/>
          <w:sz w:val="30"/>
          <w:szCs w:val="30"/>
          <w:lang w:val="en-US" w:bidi="ar"/>
        </w:rPr>
        <w:t>，开拓方式为二立一斜混合开拓，划分两个水平开</w:t>
      </w:r>
      <w:r>
        <w:rPr>
          <w:rFonts w:hint="eastAsia"/>
          <w:spacing w:val="-15"/>
          <w:sz w:val="30"/>
          <w:szCs w:val="30"/>
          <w:lang w:val="en-US" w:bidi="ar"/>
        </w:rPr>
        <w:t xml:space="preserve">采，采 </w:t>
      </w:r>
      <w:r>
        <w:rPr>
          <w:sz w:val="30"/>
          <w:szCs w:val="30"/>
          <w:lang w:val="en-US" w:bidi="ar"/>
        </w:rPr>
        <w:t xml:space="preserve">8 </w:t>
      </w:r>
      <w:r>
        <w:rPr>
          <w:rFonts w:hint="eastAsia"/>
          <w:sz w:val="30"/>
          <w:szCs w:val="30"/>
          <w:lang w:val="en-US" w:bidi="ar"/>
        </w:rPr>
        <w:t>号、</w:t>
      </w:r>
      <w:r>
        <w:rPr>
          <w:sz w:val="30"/>
          <w:szCs w:val="30"/>
          <w:lang w:val="en-US" w:bidi="ar"/>
        </w:rPr>
        <w:t xml:space="preserve">9-1 </w:t>
      </w:r>
      <w:r>
        <w:rPr>
          <w:rFonts w:hint="eastAsia"/>
          <w:spacing w:val="-1"/>
          <w:sz w:val="30"/>
          <w:szCs w:val="30"/>
          <w:lang w:val="en-US" w:bidi="ar"/>
        </w:rPr>
        <w:t>号煤层。该矿由于多年的开采，已在矿区西南和东南部形成两处采</w:t>
      </w:r>
      <w:r>
        <w:rPr>
          <w:rFonts w:hint="eastAsia"/>
          <w:spacing w:val="-6"/>
          <w:sz w:val="30"/>
          <w:szCs w:val="30"/>
          <w:lang w:val="en-US" w:bidi="ar"/>
        </w:rPr>
        <w:t xml:space="preserve">空区，采空区总面积为 </w:t>
      </w:r>
      <w:r>
        <w:rPr>
          <w:sz w:val="30"/>
          <w:szCs w:val="30"/>
          <w:lang w:val="en-US" w:bidi="ar"/>
        </w:rPr>
        <w:t>0.0546k</w:t>
      </w:r>
      <w:r>
        <w:rPr>
          <w:spacing w:val="-2"/>
          <w:sz w:val="30"/>
          <w:szCs w:val="30"/>
          <w:lang w:val="en-US" w:bidi="ar"/>
        </w:rPr>
        <w:t>m</w:t>
      </w:r>
      <w:r>
        <w:rPr>
          <w:spacing w:val="1"/>
          <w:position w:val="8"/>
          <w:sz w:val="30"/>
          <w:szCs w:val="30"/>
          <w:lang w:val="en-US" w:bidi="ar"/>
        </w:rPr>
        <w:t>2</w:t>
      </w:r>
      <w:r>
        <w:rPr>
          <w:rFonts w:hint="eastAsia"/>
          <w:sz w:val="30"/>
          <w:szCs w:val="30"/>
          <w:lang w:val="en-US" w:bidi="ar"/>
        </w:rPr>
        <w:t>（</w:t>
      </w:r>
      <w:r>
        <w:rPr>
          <w:rFonts w:hint="eastAsia"/>
          <w:spacing w:val="-30"/>
          <w:sz w:val="30"/>
          <w:szCs w:val="30"/>
          <w:lang w:val="en-US" w:bidi="ar"/>
        </w:rPr>
        <w:t xml:space="preserve">采 </w:t>
      </w:r>
      <w:r>
        <w:rPr>
          <w:sz w:val="30"/>
          <w:szCs w:val="30"/>
          <w:lang w:val="en-US" w:bidi="ar"/>
        </w:rPr>
        <w:t>9</w:t>
      </w:r>
      <w:r>
        <w:rPr>
          <w:spacing w:val="-1"/>
          <w:sz w:val="30"/>
          <w:szCs w:val="30"/>
          <w:lang w:val="en-US" w:bidi="ar"/>
        </w:rPr>
        <w:t>-</w:t>
      </w:r>
      <w:r>
        <w:rPr>
          <w:sz w:val="30"/>
          <w:szCs w:val="30"/>
          <w:lang w:val="en-US" w:bidi="ar"/>
        </w:rPr>
        <w:t xml:space="preserve">1 </w:t>
      </w:r>
      <w:r>
        <w:rPr>
          <w:rFonts w:hint="eastAsia"/>
          <w:sz w:val="30"/>
          <w:szCs w:val="30"/>
          <w:lang w:val="en-US" w:bidi="ar"/>
        </w:rPr>
        <w:t>号煤层</w:t>
      </w:r>
      <w:r>
        <w:rPr>
          <w:rFonts w:hint="eastAsia"/>
          <w:spacing w:val="-120"/>
          <w:sz w:val="30"/>
          <w:szCs w:val="30"/>
          <w:lang w:val="en-US" w:bidi="ar"/>
        </w:rPr>
        <w:t>）</w:t>
      </w:r>
      <w:r>
        <w:rPr>
          <w:rFonts w:hint="eastAsia"/>
          <w:spacing w:val="-9"/>
          <w:sz w:val="30"/>
          <w:szCs w:val="30"/>
          <w:lang w:val="en-US" w:bidi="ar"/>
        </w:rPr>
        <w:t xml:space="preserve">，采空区高度 </w:t>
      </w:r>
      <w:r>
        <w:rPr>
          <w:sz w:val="30"/>
          <w:szCs w:val="30"/>
          <w:lang w:val="en-US" w:bidi="ar"/>
        </w:rPr>
        <w:t>0.7</w:t>
      </w:r>
      <w:r>
        <w:rPr>
          <w:rFonts w:hint="eastAsia"/>
          <w:sz w:val="30"/>
          <w:szCs w:val="30"/>
          <w:lang w:val="en-US" w:bidi="ar"/>
        </w:rPr>
        <w:t>5～</w:t>
      </w:r>
      <w:r>
        <w:rPr>
          <w:sz w:val="30"/>
          <w:szCs w:val="30"/>
          <w:lang w:val="en-US" w:bidi="ar"/>
        </w:rPr>
        <w:t>2.37m</w:t>
      </w:r>
      <w:r>
        <w:rPr>
          <w:rFonts w:hint="eastAsia"/>
          <w:sz w:val="30"/>
          <w:szCs w:val="30"/>
          <w:lang w:val="en-US" w:bidi="ar"/>
        </w:rPr>
        <w:t>。</w:t>
      </w:r>
    </w:p>
    <w:p>
      <w:pPr>
        <w:pStyle w:val="5"/>
        <w:widowControl/>
        <w:numPr>
          <w:ilvl w:val="2"/>
          <w:numId w:val="3"/>
        </w:numPr>
        <w:spacing w:line="620" w:lineRule="exact"/>
        <w:ind w:left="0" w:firstLine="602" w:firstLineChars="200"/>
        <w:jc w:val="both"/>
        <w:rPr>
          <w:rFonts w:hint="default" w:cs="宋体"/>
          <w:spacing w:val="0"/>
          <w:sz w:val="30"/>
          <w:szCs w:val="30"/>
        </w:rPr>
      </w:pPr>
      <w:r>
        <w:rPr>
          <w:rFonts w:cs="宋体"/>
          <w:spacing w:val="0"/>
          <w:sz w:val="30"/>
          <w:szCs w:val="30"/>
        </w:rPr>
        <w:t>矿区及周围社会经济概况</w:t>
      </w:r>
    </w:p>
    <w:p>
      <w:pPr>
        <w:pStyle w:val="11"/>
        <w:spacing w:line="620" w:lineRule="exact"/>
        <w:ind w:firstLine="600" w:firstLineChars="200"/>
        <w:jc w:val="both"/>
        <w:rPr>
          <w:color w:val="auto"/>
          <w:spacing w:val="0"/>
          <w:sz w:val="30"/>
          <w:szCs w:val="30"/>
        </w:rPr>
      </w:pPr>
      <w:r>
        <w:rPr>
          <w:rFonts w:hint="eastAsia"/>
          <w:color w:val="auto"/>
          <w:spacing w:val="0"/>
          <w:sz w:val="30"/>
          <w:szCs w:val="30"/>
          <w:lang w:val="en-US" w:bidi="ar"/>
        </w:rPr>
        <w:t>矿区东部为滴沥帮煤矿一矿、西部为滴沥帮煤矿三矿、北部为</w:t>
      </w:r>
      <w:r>
        <w:rPr>
          <w:rFonts w:hint="eastAsia"/>
          <w:color w:val="auto"/>
          <w:spacing w:val="0"/>
          <w:sz w:val="30"/>
          <w:szCs w:val="30"/>
          <w:lang w:val="en-US" w:eastAsia="zh-CN" w:bidi="ar"/>
        </w:rPr>
        <w:t>华资</w:t>
      </w:r>
      <w:r>
        <w:rPr>
          <w:rFonts w:hint="eastAsia"/>
          <w:color w:val="auto"/>
          <w:spacing w:val="0"/>
          <w:sz w:val="30"/>
          <w:szCs w:val="30"/>
          <w:lang w:val="en-US" w:bidi="ar"/>
        </w:rPr>
        <w:t>煤矿及焦化厂、南部为龙贵煤矿。</w:t>
      </w:r>
    </w:p>
    <w:p>
      <w:pPr>
        <w:pStyle w:val="11"/>
        <w:spacing w:before="10"/>
        <w:ind w:right="220" w:rightChars="100"/>
        <w:jc w:val="center"/>
        <w:outlineLvl w:val="1"/>
        <w:rPr>
          <w:rFonts w:cs="黑体"/>
          <w:b/>
          <w:bCs/>
          <w:spacing w:val="0"/>
          <w:sz w:val="30"/>
        </w:rPr>
      </w:pPr>
      <w:bookmarkStart w:id="4" w:name="_Toc2692"/>
      <w:r>
        <w:rPr>
          <w:rFonts w:hint="eastAsia" w:cs="黑体"/>
          <w:b/>
          <w:bCs/>
          <w:spacing w:val="0"/>
          <w:sz w:val="30"/>
        </w:rPr>
        <w:t xml:space="preserve">第四节 </w:t>
      </w:r>
      <w:r>
        <w:rPr>
          <w:rFonts w:hint="eastAsia" w:cs="黑体"/>
          <w:b/>
          <w:bCs/>
          <w:spacing w:val="0"/>
          <w:sz w:val="30"/>
          <w:lang w:val="en-US" w:eastAsia="zh-CN"/>
        </w:rPr>
        <w:t xml:space="preserve"> </w:t>
      </w:r>
      <w:r>
        <w:rPr>
          <w:rFonts w:hint="eastAsia" w:cs="黑体"/>
          <w:b/>
          <w:bCs/>
          <w:spacing w:val="0"/>
          <w:sz w:val="30"/>
        </w:rPr>
        <w:t xml:space="preserve"> 矿山开发方案概述</w:t>
      </w:r>
      <w:bookmarkEnd w:id="4"/>
    </w:p>
    <w:p>
      <w:pPr>
        <w:pStyle w:val="5"/>
        <w:widowControl/>
        <w:numPr>
          <w:ilvl w:val="2"/>
          <w:numId w:val="4"/>
        </w:numPr>
        <w:spacing w:line="620" w:lineRule="exact"/>
        <w:ind w:left="0" w:firstLine="602" w:firstLineChars="200"/>
        <w:rPr>
          <w:rFonts w:hint="default" w:cs="宋体"/>
          <w:spacing w:val="0"/>
          <w:sz w:val="30"/>
          <w:szCs w:val="30"/>
        </w:rPr>
      </w:pPr>
      <w:r>
        <w:rPr>
          <w:rFonts w:cs="宋体"/>
          <w:spacing w:val="0"/>
          <w:sz w:val="30"/>
          <w:szCs w:val="30"/>
        </w:rPr>
        <w:t>矿山生产规模、服务年限</w:t>
      </w:r>
    </w:p>
    <w:p>
      <w:pPr>
        <w:pStyle w:val="5"/>
        <w:widowControl/>
        <w:spacing w:line="620" w:lineRule="exact"/>
        <w:ind w:left="0" w:firstLine="602" w:firstLineChars="200"/>
        <w:rPr>
          <w:rFonts w:hint="default" w:cs="宋体"/>
          <w:sz w:val="30"/>
          <w:szCs w:val="30"/>
        </w:rPr>
      </w:pPr>
      <w:r>
        <w:rPr>
          <w:rFonts w:cs="宋体"/>
          <w:sz w:val="30"/>
          <w:szCs w:val="30"/>
        </w:rPr>
        <w:t>一、矿区范围</w:t>
      </w:r>
    </w:p>
    <w:p>
      <w:pPr>
        <w:pStyle w:val="11"/>
        <w:spacing w:line="620" w:lineRule="exact"/>
        <w:ind w:firstLine="600" w:firstLineChars="200"/>
        <w:rPr>
          <w:sz w:val="18"/>
          <w:szCs w:val="18"/>
          <w:lang w:val="en-US" w:bidi="ar"/>
        </w:rPr>
      </w:pPr>
      <w:r>
        <w:rPr>
          <w:rFonts w:hint="eastAsia"/>
          <w:kern w:val="2"/>
          <w:sz w:val="30"/>
          <w:szCs w:val="30"/>
          <w:lang w:val="en-US" w:bidi="ar"/>
        </w:rPr>
        <w:t>内蒙古黄河工贸集团滴沥帮煤炭有限公司煤矿采矿许可证由内蒙古自治区国土资源厅颁发, 采矿许可证证号：C1500002010041120061599；有效期自</w:t>
      </w:r>
      <w:r>
        <w:rPr>
          <w:rFonts w:hint="eastAsia"/>
          <w:kern w:val="2"/>
          <w:sz w:val="30"/>
          <w:szCs w:val="30"/>
          <w:lang w:val="en-US" w:eastAsia="zh-CN" w:bidi="ar"/>
        </w:rPr>
        <w:t>2020</w:t>
      </w:r>
      <w:r>
        <w:rPr>
          <w:rFonts w:hint="eastAsia"/>
          <w:kern w:val="2"/>
          <w:sz w:val="30"/>
          <w:szCs w:val="30"/>
          <w:lang w:val="en-US" w:bidi="ar"/>
        </w:rPr>
        <w:t>年11月14日至202</w:t>
      </w:r>
      <w:r>
        <w:rPr>
          <w:rFonts w:hint="eastAsia"/>
          <w:kern w:val="2"/>
          <w:sz w:val="30"/>
          <w:szCs w:val="30"/>
          <w:lang w:val="en-US" w:eastAsia="zh-CN" w:bidi="ar"/>
        </w:rPr>
        <w:t>1</w:t>
      </w:r>
      <w:r>
        <w:rPr>
          <w:rFonts w:hint="eastAsia"/>
          <w:kern w:val="2"/>
          <w:sz w:val="30"/>
          <w:szCs w:val="30"/>
          <w:lang w:val="en-US" w:bidi="ar"/>
        </w:rPr>
        <w:t>年11月14日；开采矿种：煤；开采方式：地下开采；生产规模：30万吨/年；矿山开采范围由5个拐点圈定，面积为1.4470km</w:t>
      </w:r>
      <w:r>
        <w:rPr>
          <w:rFonts w:hint="eastAsia"/>
          <w:kern w:val="2"/>
          <w:sz w:val="30"/>
          <w:szCs w:val="30"/>
          <w:vertAlign w:val="superscript"/>
          <w:lang w:val="en-US" w:bidi="ar"/>
        </w:rPr>
        <w:t>2</w:t>
      </w:r>
      <w:r>
        <w:rPr>
          <w:rFonts w:hint="eastAsia"/>
          <w:kern w:val="2"/>
          <w:sz w:val="30"/>
          <w:szCs w:val="30"/>
          <w:lang w:val="en-US" w:bidi="ar"/>
        </w:rPr>
        <w:t>，开采标高由1203至942m。</w:t>
      </w:r>
      <w:r>
        <w:rPr>
          <w:rFonts w:hint="eastAsia"/>
          <w:sz w:val="30"/>
          <w:szCs w:val="30"/>
          <w:lang w:val="en-US" w:bidi="ar"/>
        </w:rPr>
        <w:t>矿区拐点坐标见表1-2。</w:t>
      </w:r>
      <w:r>
        <w:rPr>
          <w:rFonts w:hint="eastAsia"/>
          <w:sz w:val="18"/>
          <w:szCs w:val="18"/>
          <w:lang w:val="en-US" w:bidi="ar"/>
        </w:rPr>
        <w:t xml:space="preserve"> </w:t>
      </w:r>
    </w:p>
    <w:p>
      <w:pPr>
        <w:pStyle w:val="11"/>
        <w:spacing w:before="9"/>
        <w:rPr>
          <w:sz w:val="18"/>
          <w:szCs w:val="18"/>
          <w:lang w:val="en-US" w:bidi="ar"/>
        </w:rPr>
      </w:pPr>
    </w:p>
    <w:p>
      <w:pPr>
        <w:spacing w:after="34"/>
        <w:jc w:val="center"/>
        <w:rPr>
          <w:b/>
          <w:sz w:val="28"/>
          <w:szCs w:val="28"/>
        </w:rPr>
      </w:pPr>
      <w:r>
        <w:rPr>
          <w:rFonts w:hint="eastAsia"/>
          <w:b/>
          <w:sz w:val="28"/>
          <w:szCs w:val="28"/>
          <w:lang w:val="en-US" w:bidi="ar"/>
        </w:rPr>
        <w:t>矿区范围拐点坐标表</w:t>
      </w:r>
      <w:r>
        <w:rPr>
          <w:rFonts w:hint="eastAsia"/>
          <w:b/>
          <w:sz w:val="28"/>
          <w:szCs w:val="28"/>
          <w:lang w:val="en-US" w:bidi="ar"/>
        </w:rPr>
        <w:tab/>
      </w:r>
      <w:r>
        <w:rPr>
          <w:rFonts w:hint="eastAsia"/>
          <w:b/>
          <w:sz w:val="28"/>
          <w:szCs w:val="28"/>
          <w:lang w:val="en-US" w:bidi="ar"/>
        </w:rPr>
        <w:t>表</w:t>
      </w:r>
      <w:r>
        <w:rPr>
          <w:rFonts w:hint="eastAsia"/>
          <w:b/>
          <w:spacing w:val="-52"/>
          <w:sz w:val="28"/>
          <w:szCs w:val="28"/>
          <w:lang w:val="en-US" w:bidi="ar"/>
        </w:rPr>
        <w:t xml:space="preserve"> </w:t>
      </w:r>
      <w:r>
        <w:rPr>
          <w:rFonts w:hint="eastAsia"/>
          <w:b/>
          <w:sz w:val="28"/>
          <w:szCs w:val="28"/>
          <w:lang w:val="en-US" w:bidi="ar"/>
        </w:rPr>
        <w:t>1－2</w:t>
      </w:r>
    </w:p>
    <w:tbl>
      <w:tblPr>
        <w:tblStyle w:val="12"/>
        <w:tblW w:w="8741" w:type="dxa"/>
        <w:tblInd w:w="3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35"/>
        <w:gridCol w:w="2330"/>
        <w:gridCol w:w="2335"/>
        <w:gridCol w:w="174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40" w:hRule="atLeast"/>
        </w:trPr>
        <w:tc>
          <w:tcPr>
            <w:tcW w:w="2335" w:type="dxa"/>
            <w:tcBorders>
              <w:top w:val="single" w:color="000000" w:sz="12" w:space="0"/>
              <w:left w:val="single" w:color="000000" w:sz="12" w:space="0"/>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jc w:val="center"/>
              <w:textAlignment w:val="auto"/>
              <w:rPr>
                <w:rFonts w:hint="default"/>
                <w:sz w:val="24"/>
                <w:szCs w:val="24"/>
              </w:rPr>
            </w:pPr>
            <w:r>
              <w:rPr>
                <w:rFonts w:cs="宋体"/>
                <w:sz w:val="24"/>
                <w:szCs w:val="24"/>
              </w:rPr>
              <w:t>拐点编号</w:t>
            </w:r>
          </w:p>
        </w:tc>
        <w:tc>
          <w:tcPr>
            <w:tcW w:w="2330"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jc w:val="center"/>
              <w:textAlignment w:val="auto"/>
              <w:rPr>
                <w:rFonts w:hint="default"/>
                <w:sz w:val="24"/>
                <w:szCs w:val="24"/>
              </w:rPr>
            </w:pPr>
            <w:r>
              <w:rPr>
                <w:rFonts w:cs="宋体"/>
                <w:sz w:val="24"/>
                <w:szCs w:val="24"/>
              </w:rPr>
              <w:t>X</w:t>
            </w:r>
          </w:p>
        </w:tc>
        <w:tc>
          <w:tcPr>
            <w:tcW w:w="2335"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jc w:val="center"/>
              <w:textAlignment w:val="auto"/>
              <w:rPr>
                <w:rFonts w:hint="default"/>
                <w:sz w:val="24"/>
                <w:szCs w:val="24"/>
              </w:rPr>
            </w:pPr>
            <w:r>
              <w:rPr>
                <w:rFonts w:cs="宋体"/>
                <w:sz w:val="24"/>
                <w:szCs w:val="24"/>
              </w:rPr>
              <w:t>Y</w:t>
            </w:r>
          </w:p>
        </w:tc>
        <w:tc>
          <w:tcPr>
            <w:tcW w:w="1741" w:type="dxa"/>
            <w:tcBorders>
              <w:top w:val="single" w:color="000000" w:sz="12" w:space="0"/>
              <w:left w:val="nil"/>
              <w:bottom w:val="single" w:color="000000" w:sz="12"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jc w:val="center"/>
              <w:textAlignment w:val="auto"/>
              <w:rPr>
                <w:rFonts w:hint="default"/>
                <w:sz w:val="24"/>
                <w:szCs w:val="24"/>
              </w:rPr>
            </w:pPr>
            <w:r>
              <w:rPr>
                <w:rFonts w:cs="宋体"/>
                <w:sz w:val="24"/>
                <w:szCs w:val="24"/>
              </w:rPr>
              <w:t>开采标高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3" w:hRule="atLeast"/>
        </w:trPr>
        <w:tc>
          <w:tcPr>
            <w:tcW w:w="2335" w:type="dxa"/>
            <w:tcBorders>
              <w:top w:val="single" w:color="000000" w:sz="12"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1" w:lineRule="exact"/>
              <w:ind w:left="0" w:right="0"/>
              <w:jc w:val="center"/>
              <w:textAlignment w:val="auto"/>
              <w:rPr>
                <w:rFonts w:hint="default"/>
                <w:sz w:val="24"/>
                <w:szCs w:val="24"/>
              </w:rPr>
            </w:pPr>
            <w:r>
              <w:rPr>
                <w:rFonts w:cs="宋体"/>
                <w:sz w:val="24"/>
                <w:szCs w:val="24"/>
              </w:rPr>
              <w:t>1</w:t>
            </w:r>
          </w:p>
        </w:tc>
        <w:tc>
          <w:tcPr>
            <w:tcW w:w="2330" w:type="dxa"/>
            <w:tcBorders>
              <w:top w:val="single" w:color="000000" w:sz="12"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1" w:lineRule="exact"/>
              <w:ind w:left="0" w:right="0"/>
              <w:jc w:val="center"/>
              <w:textAlignment w:val="auto"/>
              <w:rPr>
                <w:rFonts w:hint="default"/>
                <w:sz w:val="24"/>
                <w:szCs w:val="24"/>
              </w:rPr>
            </w:pPr>
            <w:r>
              <w:rPr>
                <w:rFonts w:cs="宋体"/>
                <w:sz w:val="24"/>
                <w:szCs w:val="24"/>
              </w:rPr>
              <w:t>4370675.00</w:t>
            </w:r>
          </w:p>
        </w:tc>
        <w:tc>
          <w:tcPr>
            <w:tcW w:w="2335" w:type="dxa"/>
            <w:tcBorders>
              <w:top w:val="single" w:color="000000" w:sz="12"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1" w:lineRule="exact"/>
              <w:ind w:left="0" w:right="0"/>
              <w:jc w:val="center"/>
              <w:textAlignment w:val="auto"/>
              <w:rPr>
                <w:rFonts w:hint="default"/>
                <w:sz w:val="24"/>
                <w:szCs w:val="24"/>
              </w:rPr>
            </w:pPr>
            <w:r>
              <w:rPr>
                <w:rFonts w:cs="宋体"/>
                <w:sz w:val="24"/>
                <w:szCs w:val="24"/>
              </w:rPr>
              <w:t>36409000.00</w:t>
            </w:r>
          </w:p>
        </w:tc>
        <w:tc>
          <w:tcPr>
            <w:tcW w:w="1741" w:type="dxa"/>
            <w:vMerge w:val="restart"/>
            <w:tcBorders>
              <w:top w:val="nil"/>
              <w:left w:val="nil"/>
              <w:bottom w:val="single" w:color="000000" w:sz="12"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jc w:val="center"/>
              <w:textAlignment w:val="auto"/>
              <w:rPr>
                <w:rFonts w:hint="default"/>
                <w:sz w:val="24"/>
                <w:szCs w:val="24"/>
              </w:rPr>
            </w:pPr>
            <w:r>
              <w:rPr>
                <w:rFonts w:cs="宋体"/>
                <w:sz w:val="24"/>
                <w:szCs w:val="24"/>
              </w:rPr>
              <w:t>1203～942m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40" w:hRule="atLeast"/>
        </w:trPr>
        <w:tc>
          <w:tcPr>
            <w:tcW w:w="2335"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2" w:lineRule="exact"/>
              <w:ind w:left="0" w:right="0"/>
              <w:jc w:val="center"/>
              <w:textAlignment w:val="auto"/>
              <w:rPr>
                <w:rFonts w:hint="default"/>
                <w:sz w:val="24"/>
                <w:szCs w:val="24"/>
              </w:rPr>
            </w:pPr>
            <w:r>
              <w:rPr>
                <w:rFonts w:cs="宋体"/>
                <w:sz w:val="24"/>
                <w:szCs w:val="24"/>
              </w:rPr>
              <w:t>2</w:t>
            </w:r>
          </w:p>
        </w:tc>
        <w:tc>
          <w:tcPr>
            <w:tcW w:w="2330"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2" w:lineRule="exact"/>
              <w:ind w:left="0" w:right="0"/>
              <w:jc w:val="center"/>
              <w:textAlignment w:val="auto"/>
              <w:rPr>
                <w:rFonts w:hint="default"/>
                <w:sz w:val="24"/>
                <w:szCs w:val="24"/>
              </w:rPr>
            </w:pPr>
            <w:r>
              <w:rPr>
                <w:rFonts w:cs="宋体"/>
                <w:sz w:val="24"/>
                <w:szCs w:val="24"/>
              </w:rPr>
              <w:t>4369540.00</w:t>
            </w:r>
          </w:p>
        </w:tc>
        <w:tc>
          <w:tcPr>
            <w:tcW w:w="2335"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2" w:lineRule="exact"/>
              <w:ind w:left="0" w:right="0"/>
              <w:jc w:val="center"/>
              <w:textAlignment w:val="auto"/>
              <w:rPr>
                <w:rFonts w:hint="default"/>
                <w:sz w:val="24"/>
                <w:szCs w:val="24"/>
              </w:rPr>
            </w:pPr>
            <w:r>
              <w:rPr>
                <w:rFonts w:cs="宋体"/>
                <w:sz w:val="24"/>
                <w:szCs w:val="24"/>
              </w:rPr>
              <w:t>36409000.00</w:t>
            </w:r>
          </w:p>
        </w:tc>
        <w:tc>
          <w:tcPr>
            <w:tcW w:w="1741" w:type="dxa"/>
            <w:vMerge w:val="continue"/>
            <w:tcBorders>
              <w:top w:val="nil"/>
              <w:left w:val="nil"/>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41" w:hRule="atLeast"/>
        </w:trPr>
        <w:tc>
          <w:tcPr>
            <w:tcW w:w="2335"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2" w:lineRule="exact"/>
              <w:ind w:left="0" w:right="0"/>
              <w:jc w:val="center"/>
              <w:textAlignment w:val="auto"/>
              <w:rPr>
                <w:rFonts w:hint="default"/>
                <w:sz w:val="24"/>
                <w:szCs w:val="24"/>
              </w:rPr>
            </w:pPr>
            <w:r>
              <w:rPr>
                <w:rFonts w:cs="宋体"/>
                <w:sz w:val="24"/>
                <w:szCs w:val="24"/>
              </w:rPr>
              <w:t>3</w:t>
            </w:r>
          </w:p>
        </w:tc>
        <w:tc>
          <w:tcPr>
            <w:tcW w:w="2330"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2" w:lineRule="exact"/>
              <w:ind w:left="0" w:right="0"/>
              <w:jc w:val="center"/>
              <w:textAlignment w:val="auto"/>
              <w:rPr>
                <w:rFonts w:hint="default"/>
                <w:sz w:val="24"/>
                <w:szCs w:val="24"/>
              </w:rPr>
            </w:pPr>
            <w:r>
              <w:rPr>
                <w:rFonts w:cs="宋体"/>
                <w:sz w:val="24"/>
                <w:szCs w:val="24"/>
              </w:rPr>
              <w:t>4369440.00</w:t>
            </w:r>
          </w:p>
        </w:tc>
        <w:tc>
          <w:tcPr>
            <w:tcW w:w="2335"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2" w:lineRule="exact"/>
              <w:ind w:left="0" w:right="0"/>
              <w:jc w:val="center"/>
              <w:textAlignment w:val="auto"/>
              <w:rPr>
                <w:rFonts w:hint="default"/>
                <w:sz w:val="24"/>
                <w:szCs w:val="24"/>
              </w:rPr>
            </w:pPr>
            <w:r>
              <w:rPr>
                <w:rFonts w:cs="宋体"/>
                <w:sz w:val="24"/>
                <w:szCs w:val="24"/>
              </w:rPr>
              <w:t>36408300.00</w:t>
            </w:r>
          </w:p>
        </w:tc>
        <w:tc>
          <w:tcPr>
            <w:tcW w:w="1741" w:type="dxa"/>
            <w:vMerge w:val="continue"/>
            <w:tcBorders>
              <w:top w:val="nil"/>
              <w:left w:val="nil"/>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50" w:hRule="atLeast"/>
        </w:trPr>
        <w:tc>
          <w:tcPr>
            <w:tcW w:w="2335" w:type="dxa"/>
            <w:tcBorders>
              <w:top w:val="single" w:color="000000" w:sz="6" w:space="0"/>
              <w:left w:val="single" w:color="000000" w:sz="12" w:space="0"/>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6" w:lineRule="exact"/>
              <w:ind w:left="0" w:right="0"/>
              <w:jc w:val="center"/>
              <w:textAlignment w:val="auto"/>
              <w:rPr>
                <w:rFonts w:hint="default"/>
                <w:sz w:val="24"/>
                <w:szCs w:val="24"/>
              </w:rPr>
            </w:pPr>
            <w:r>
              <w:rPr>
                <w:rFonts w:cs="宋体"/>
                <w:sz w:val="24"/>
                <w:szCs w:val="24"/>
              </w:rPr>
              <w:t>4</w:t>
            </w:r>
          </w:p>
        </w:tc>
        <w:tc>
          <w:tcPr>
            <w:tcW w:w="2330"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6" w:lineRule="exact"/>
              <w:ind w:left="0" w:right="0"/>
              <w:jc w:val="center"/>
              <w:textAlignment w:val="auto"/>
              <w:rPr>
                <w:rFonts w:hint="default"/>
                <w:sz w:val="24"/>
                <w:szCs w:val="24"/>
              </w:rPr>
            </w:pPr>
            <w:r>
              <w:rPr>
                <w:rFonts w:cs="宋体"/>
                <w:sz w:val="24"/>
                <w:szCs w:val="24"/>
              </w:rPr>
              <w:t>4369520.00</w:t>
            </w:r>
          </w:p>
        </w:tc>
        <w:tc>
          <w:tcPr>
            <w:tcW w:w="2335"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6" w:lineRule="exact"/>
              <w:ind w:left="0" w:right="0"/>
              <w:jc w:val="center"/>
              <w:textAlignment w:val="auto"/>
              <w:rPr>
                <w:rFonts w:hint="default"/>
                <w:sz w:val="24"/>
                <w:szCs w:val="24"/>
              </w:rPr>
            </w:pPr>
            <w:r>
              <w:rPr>
                <w:rFonts w:cs="宋体"/>
                <w:sz w:val="24"/>
                <w:szCs w:val="24"/>
              </w:rPr>
              <w:t>36407745.00</w:t>
            </w:r>
          </w:p>
        </w:tc>
        <w:tc>
          <w:tcPr>
            <w:tcW w:w="1741" w:type="dxa"/>
            <w:vMerge w:val="continue"/>
            <w:tcBorders>
              <w:top w:val="nil"/>
              <w:left w:val="nil"/>
              <w:bottom w:val="single" w:color="000000" w:sz="12" w:space="0"/>
              <w:right w:val="single" w:color="000000" w:sz="12"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ind w:left="0" w:right="0"/>
              <w:jc w:val="center"/>
              <w:textAlignment w:val="auto"/>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67" w:hRule="atLeast"/>
        </w:trPr>
        <w:tc>
          <w:tcPr>
            <w:tcW w:w="2335" w:type="dxa"/>
            <w:tcBorders>
              <w:top w:val="single" w:color="000000" w:sz="12" w:space="0"/>
              <w:left w:val="single" w:color="000000" w:sz="12" w:space="0"/>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7" w:lineRule="exact"/>
              <w:ind w:left="0" w:right="0"/>
              <w:jc w:val="center"/>
              <w:textAlignment w:val="auto"/>
              <w:rPr>
                <w:rFonts w:hint="default"/>
                <w:sz w:val="24"/>
                <w:szCs w:val="24"/>
              </w:rPr>
            </w:pPr>
            <w:r>
              <w:rPr>
                <w:rFonts w:cs="宋体"/>
                <w:sz w:val="24"/>
                <w:szCs w:val="24"/>
              </w:rPr>
              <w:t>5</w:t>
            </w:r>
          </w:p>
        </w:tc>
        <w:tc>
          <w:tcPr>
            <w:tcW w:w="2330"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7" w:lineRule="exact"/>
              <w:ind w:left="0" w:right="0"/>
              <w:jc w:val="center"/>
              <w:textAlignment w:val="auto"/>
              <w:rPr>
                <w:rFonts w:hint="default"/>
                <w:sz w:val="24"/>
                <w:szCs w:val="24"/>
              </w:rPr>
            </w:pPr>
            <w:r>
              <w:rPr>
                <w:rFonts w:cs="宋体"/>
                <w:sz w:val="24"/>
                <w:szCs w:val="24"/>
              </w:rPr>
              <w:t>4370630.00</w:t>
            </w:r>
          </w:p>
        </w:tc>
        <w:tc>
          <w:tcPr>
            <w:tcW w:w="2335"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37" w:lineRule="exact"/>
              <w:ind w:left="0" w:right="0"/>
              <w:jc w:val="center"/>
              <w:textAlignment w:val="auto"/>
              <w:rPr>
                <w:rFonts w:hint="default"/>
                <w:sz w:val="24"/>
                <w:szCs w:val="24"/>
              </w:rPr>
            </w:pPr>
            <w:r>
              <w:rPr>
                <w:rFonts w:cs="宋体"/>
                <w:sz w:val="24"/>
                <w:szCs w:val="24"/>
              </w:rPr>
              <w:t>36407775.00</w:t>
            </w:r>
          </w:p>
        </w:tc>
        <w:tc>
          <w:tcPr>
            <w:tcW w:w="1741" w:type="dxa"/>
            <w:tcBorders>
              <w:top w:val="single" w:color="000000" w:sz="12" w:space="0"/>
              <w:left w:val="nil"/>
              <w:bottom w:val="single" w:color="000000" w:sz="12"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ind w:left="0" w:right="0"/>
              <w:jc w:val="center"/>
              <w:textAlignment w:val="auto"/>
              <w:rPr>
                <w:rFonts w:hint="default" w:ascii="Times New Roman"/>
                <w:sz w:val="24"/>
                <w:szCs w:val="24"/>
              </w:rPr>
            </w:pPr>
          </w:p>
        </w:tc>
      </w:tr>
    </w:tbl>
    <w:p>
      <w:pPr>
        <w:pStyle w:val="11"/>
        <w:rPr>
          <w:b/>
          <w:sz w:val="8"/>
          <w:szCs w:val="8"/>
          <w:lang w:val="en-US"/>
        </w:rPr>
      </w:pPr>
    </w:p>
    <w:p>
      <w:pPr>
        <w:pStyle w:val="5"/>
        <w:widowControl/>
        <w:spacing w:before="82"/>
        <w:ind w:left="220" w:leftChars="100" w:right="220" w:rightChars="100" w:firstLine="602" w:firstLineChars="200"/>
        <w:rPr>
          <w:rFonts w:hint="default" w:cs="宋体"/>
          <w:sz w:val="30"/>
          <w:szCs w:val="30"/>
        </w:rPr>
      </w:pPr>
      <w:bookmarkStart w:id="5" w:name="1.4.2矿山开采方案"/>
      <w:bookmarkEnd w:id="5"/>
      <w:r>
        <w:rPr>
          <w:rFonts w:cs="宋体"/>
          <w:sz w:val="30"/>
          <w:szCs w:val="30"/>
        </w:rPr>
        <w:t>二、矿山生产规模及服务年限</w:t>
      </w:r>
    </w:p>
    <w:p>
      <w:pPr>
        <w:pStyle w:val="11"/>
        <w:spacing w:line="620" w:lineRule="exact"/>
        <w:ind w:firstLine="600" w:firstLineChars="200"/>
        <w:rPr>
          <w:sz w:val="30"/>
          <w:szCs w:val="30"/>
        </w:rPr>
      </w:pPr>
      <w:r>
        <w:rPr>
          <w:rFonts w:hint="eastAsia"/>
          <w:sz w:val="30"/>
          <w:szCs w:val="30"/>
          <w:lang w:val="en-US" w:bidi="ar"/>
        </w:rPr>
        <w:t>依据乌海市工业设计研究院提交的《乌海市海南区滴沥帮乌素煤矿二矿技术改造初步设计说明书》，矿山设计生产规模为 0.3Mt/a，服务年限 30a。</w:t>
      </w:r>
    </w:p>
    <w:p>
      <w:pPr>
        <w:pStyle w:val="11"/>
        <w:spacing w:line="620" w:lineRule="exact"/>
        <w:ind w:firstLine="600" w:firstLineChars="200"/>
        <w:jc w:val="both"/>
        <w:rPr>
          <w:b/>
          <w:sz w:val="30"/>
          <w:szCs w:val="30"/>
        </w:rPr>
      </w:pPr>
      <w:r>
        <w:rPr>
          <w:rFonts w:hint="eastAsia"/>
          <w:sz w:val="30"/>
          <w:szCs w:val="30"/>
          <w:lang w:val="en-US" w:bidi="ar"/>
        </w:rPr>
        <w:t xml:space="preserve"> </w:t>
      </w:r>
      <w:r>
        <w:rPr>
          <w:sz w:val="30"/>
          <w:szCs w:val="30"/>
        </w:rPr>
        <w:t>矿山开采方案</w:t>
      </w:r>
      <w:r>
        <w:rPr>
          <w:rFonts w:hint="eastAsia"/>
          <w:b/>
          <w:sz w:val="30"/>
          <w:szCs w:val="30"/>
          <w:lang w:val="en-US" w:bidi="ar"/>
        </w:rPr>
        <w:t xml:space="preserve"> </w:t>
      </w:r>
    </w:p>
    <w:p>
      <w:pPr>
        <w:pStyle w:val="5"/>
        <w:widowControl/>
        <w:spacing w:line="620" w:lineRule="exact"/>
        <w:ind w:left="0" w:firstLine="602" w:firstLineChars="200"/>
        <w:jc w:val="both"/>
        <w:rPr>
          <w:rFonts w:hint="default" w:cs="宋体"/>
          <w:sz w:val="30"/>
          <w:szCs w:val="30"/>
        </w:rPr>
      </w:pPr>
      <w:r>
        <w:rPr>
          <w:rFonts w:cs="宋体"/>
          <w:sz w:val="30"/>
          <w:szCs w:val="30"/>
        </w:rPr>
        <w:t>一、开采方式</w:t>
      </w:r>
    </w:p>
    <w:p>
      <w:pPr>
        <w:pStyle w:val="11"/>
        <w:spacing w:line="620" w:lineRule="exact"/>
        <w:ind w:firstLine="580" w:firstLineChars="200"/>
        <w:jc w:val="both"/>
        <w:rPr>
          <w:sz w:val="30"/>
          <w:szCs w:val="30"/>
        </w:rPr>
      </w:pPr>
      <w:r>
        <w:rPr>
          <w:rFonts w:hint="eastAsia"/>
          <w:spacing w:val="-5"/>
          <w:sz w:val="30"/>
          <w:szCs w:val="30"/>
          <w:lang w:val="en-US" w:bidi="ar"/>
        </w:rPr>
        <w:t>根据《乌海市海南区滴沥帮乌素煤矿二矿技术改造初步设计说明书》，矿山开采</w:t>
      </w:r>
      <w:r>
        <w:rPr>
          <w:rFonts w:hint="eastAsia"/>
          <w:sz w:val="30"/>
          <w:szCs w:val="30"/>
          <w:lang w:val="en-US" w:bidi="ar"/>
        </w:rPr>
        <w:t>方式为井工开采。</w:t>
      </w:r>
    </w:p>
    <w:p>
      <w:pPr>
        <w:pStyle w:val="5"/>
        <w:widowControl/>
        <w:spacing w:line="620" w:lineRule="exact"/>
        <w:ind w:left="0" w:firstLine="602" w:firstLineChars="200"/>
        <w:jc w:val="both"/>
        <w:rPr>
          <w:rFonts w:hint="default" w:cs="宋体"/>
          <w:sz w:val="30"/>
          <w:szCs w:val="30"/>
        </w:rPr>
      </w:pPr>
      <w:r>
        <w:rPr>
          <w:rFonts w:cs="宋体"/>
          <w:sz w:val="30"/>
          <w:szCs w:val="30"/>
        </w:rPr>
        <w:t>二、开拓运输方案</w:t>
      </w:r>
    </w:p>
    <w:p>
      <w:pPr>
        <w:pStyle w:val="11"/>
        <w:spacing w:line="620" w:lineRule="exact"/>
        <w:ind w:firstLine="600" w:firstLineChars="200"/>
        <w:jc w:val="both"/>
        <w:rPr>
          <w:spacing w:val="0"/>
          <w:sz w:val="30"/>
          <w:szCs w:val="30"/>
        </w:rPr>
      </w:pPr>
      <w:r>
        <w:rPr>
          <w:rFonts w:hint="eastAsia"/>
          <w:spacing w:val="0"/>
          <w:sz w:val="30"/>
          <w:szCs w:val="30"/>
          <w:lang w:val="en-US" w:bidi="ar"/>
        </w:rPr>
        <w:t>根据煤层赋存状态、规模和地形条件等，矿山设计采用二立一斜混合开拓方式。开拓系统利用东、西立井，作为矿井主提升井，利用斜井作为全矿井总回风井。矿井设有三个井筒，即东立井、西立井和回风斜井。</w:t>
      </w:r>
    </w:p>
    <w:p>
      <w:pPr>
        <w:pStyle w:val="11"/>
        <w:spacing w:line="620" w:lineRule="exact"/>
        <w:ind w:firstLine="600" w:firstLineChars="200"/>
        <w:jc w:val="both"/>
        <w:rPr>
          <w:spacing w:val="0"/>
          <w:sz w:val="30"/>
          <w:szCs w:val="30"/>
        </w:rPr>
      </w:pPr>
      <w:r>
        <w:rPr>
          <w:rFonts w:hint="eastAsia"/>
          <w:spacing w:val="0"/>
          <w:sz w:val="30"/>
          <w:szCs w:val="30"/>
          <w:lang w:val="en-US" w:bidi="ar"/>
        </w:rPr>
        <w:t>东立井：井口标高 1266m，坐标为：x=4370139，y=36408829；井筒垂高 180m。井筒净直径 3.6m，净断面 10.2m</w:t>
      </w:r>
      <w:r>
        <w:rPr>
          <w:rFonts w:hint="eastAsia"/>
          <w:spacing w:val="0"/>
          <w:sz w:val="30"/>
          <w:szCs w:val="30"/>
          <w:vertAlign w:val="superscript"/>
          <w:lang w:val="en-US" w:eastAsia="zh-CN" w:bidi="ar"/>
        </w:rPr>
        <w:t>2</w:t>
      </w:r>
      <w:r>
        <w:rPr>
          <w:rFonts w:hint="eastAsia"/>
          <w:spacing w:val="0"/>
          <w:sz w:val="30"/>
          <w:szCs w:val="30"/>
          <w:lang w:val="en-US" w:bidi="ar"/>
        </w:rPr>
        <w:t>，混凝土浇筑支护，井壁厚 300mm，原有装备为 2m</w:t>
      </w:r>
      <w:r>
        <w:rPr>
          <w:rFonts w:hint="eastAsia"/>
          <w:spacing w:val="0"/>
          <w:sz w:val="30"/>
          <w:szCs w:val="30"/>
          <w:vertAlign w:val="superscript"/>
          <w:lang w:val="en-US" w:eastAsia="zh-CN" w:bidi="ar"/>
        </w:rPr>
        <w:t>3</w:t>
      </w:r>
      <w:r>
        <w:rPr>
          <w:rFonts w:hint="eastAsia"/>
          <w:spacing w:val="0"/>
          <w:position w:val="12"/>
          <w:sz w:val="30"/>
          <w:szCs w:val="30"/>
          <w:lang w:val="en-US" w:bidi="ar"/>
        </w:rPr>
        <w:t xml:space="preserve"> </w:t>
      </w:r>
      <w:r>
        <w:rPr>
          <w:rFonts w:hint="eastAsia"/>
          <w:spacing w:val="0"/>
          <w:sz w:val="30"/>
          <w:szCs w:val="30"/>
          <w:lang w:val="en-US" w:bidi="ar"/>
        </w:rPr>
        <w:t>自制双箕斗、槽钢罐梁罐道。</w:t>
      </w:r>
    </w:p>
    <w:p>
      <w:pPr>
        <w:pStyle w:val="11"/>
        <w:spacing w:line="620" w:lineRule="exact"/>
        <w:ind w:firstLine="600" w:firstLineChars="200"/>
        <w:jc w:val="both"/>
        <w:rPr>
          <w:spacing w:val="0"/>
          <w:sz w:val="30"/>
          <w:szCs w:val="30"/>
        </w:rPr>
      </w:pPr>
      <w:r>
        <w:rPr>
          <w:rFonts w:hint="eastAsia"/>
          <w:spacing w:val="0"/>
          <w:sz w:val="30"/>
          <w:szCs w:val="30"/>
          <w:lang w:val="en-US" w:bidi="ar"/>
        </w:rPr>
        <w:t>西立井：井口标高 1251m，坐标为：x=4369850，y=36407889，垂深：310m。井筒净直径 3.8m，净断面 11.3m</w:t>
      </w:r>
      <w:r>
        <w:rPr>
          <w:rFonts w:hint="eastAsia"/>
          <w:spacing w:val="0"/>
          <w:sz w:val="30"/>
          <w:szCs w:val="30"/>
          <w:vertAlign w:val="superscript"/>
          <w:lang w:val="en-US" w:eastAsia="zh-CN" w:bidi="ar"/>
        </w:rPr>
        <w:t>2</w:t>
      </w:r>
      <w:r>
        <w:rPr>
          <w:rFonts w:hint="eastAsia"/>
          <w:spacing w:val="0"/>
          <w:sz w:val="30"/>
          <w:szCs w:val="30"/>
          <w:lang w:val="en-US" w:bidi="ar"/>
        </w:rPr>
        <w:t>，混凝土浇筑支护，井壁厚 300mm，原有装备为 3.5m</w:t>
      </w:r>
      <w:r>
        <w:rPr>
          <w:rFonts w:hint="eastAsia"/>
          <w:spacing w:val="0"/>
          <w:sz w:val="30"/>
          <w:szCs w:val="30"/>
          <w:vertAlign w:val="superscript"/>
          <w:lang w:val="en-US" w:eastAsia="zh-CN" w:bidi="ar"/>
        </w:rPr>
        <w:t>3</w:t>
      </w:r>
      <w:r>
        <w:rPr>
          <w:rFonts w:hint="eastAsia"/>
          <w:spacing w:val="0"/>
          <w:position w:val="12"/>
          <w:sz w:val="30"/>
          <w:szCs w:val="30"/>
          <w:lang w:val="en-US" w:bidi="ar"/>
        </w:rPr>
        <w:t xml:space="preserve"> </w:t>
      </w:r>
      <w:r>
        <w:rPr>
          <w:rFonts w:hint="eastAsia"/>
          <w:spacing w:val="0"/>
          <w:sz w:val="30"/>
          <w:szCs w:val="30"/>
          <w:lang w:val="en-US" w:bidi="ar"/>
        </w:rPr>
        <w:t>自制双箕斗、槽钢罐梁罐道。</w:t>
      </w:r>
    </w:p>
    <w:p>
      <w:pPr>
        <w:pStyle w:val="11"/>
        <w:spacing w:line="620" w:lineRule="exact"/>
        <w:ind w:firstLine="600" w:firstLineChars="200"/>
        <w:jc w:val="both"/>
        <w:rPr>
          <w:spacing w:val="0"/>
          <w:sz w:val="30"/>
          <w:szCs w:val="30"/>
        </w:rPr>
      </w:pPr>
      <w:r>
        <w:rPr>
          <w:rFonts w:hint="eastAsia"/>
          <w:spacing w:val="0"/>
          <w:sz w:val="30"/>
          <w:szCs w:val="30"/>
          <w:lang w:val="en-US" w:bidi="ar"/>
        </w:rPr>
        <w:t>回风斜井：井口标高 1259m，斜长 650m，倾角21°，座标为 x=4369988.99，y=36408255.21.井筒掘进断面积11.3m</w:t>
      </w:r>
      <w:r>
        <w:rPr>
          <w:rFonts w:hint="eastAsia"/>
          <w:spacing w:val="0"/>
          <w:sz w:val="30"/>
          <w:szCs w:val="30"/>
          <w:vertAlign w:val="superscript"/>
          <w:lang w:val="en-US" w:eastAsia="zh-CN" w:bidi="ar"/>
        </w:rPr>
        <w:t>2</w:t>
      </w:r>
      <w:r>
        <w:rPr>
          <w:rFonts w:hint="eastAsia"/>
          <w:spacing w:val="0"/>
          <w:sz w:val="30"/>
          <w:szCs w:val="30"/>
          <w:lang w:val="en-US" w:bidi="ar"/>
        </w:rPr>
        <w:t>.净断面积 8.9m</w:t>
      </w:r>
      <w:r>
        <w:rPr>
          <w:rFonts w:hint="eastAsia"/>
          <w:spacing w:val="0"/>
          <w:sz w:val="30"/>
          <w:szCs w:val="30"/>
          <w:vertAlign w:val="superscript"/>
          <w:lang w:val="en-US" w:eastAsia="zh-CN" w:bidi="ar"/>
        </w:rPr>
        <w:t>2</w:t>
      </w:r>
      <w:r>
        <w:rPr>
          <w:rFonts w:hint="eastAsia"/>
          <w:spacing w:val="0"/>
          <w:sz w:val="30"/>
          <w:szCs w:val="30"/>
          <w:lang w:val="en-US" w:bidi="ar"/>
        </w:rPr>
        <w:t>。现装备主要扇风机为 2 台BK40-6-NQ14-30KW 型节能风机。</w:t>
      </w:r>
    </w:p>
    <w:p>
      <w:pPr>
        <w:pStyle w:val="11"/>
        <w:spacing w:line="620" w:lineRule="exact"/>
        <w:ind w:firstLine="600" w:firstLineChars="200"/>
        <w:jc w:val="both"/>
        <w:rPr>
          <w:spacing w:val="0"/>
          <w:sz w:val="30"/>
          <w:szCs w:val="30"/>
        </w:rPr>
      </w:pPr>
      <w:r>
        <w:rPr>
          <w:rFonts w:hint="eastAsia"/>
          <w:spacing w:val="0"/>
          <w:sz w:val="30"/>
          <w:szCs w:val="30"/>
          <w:lang w:val="en-US" w:bidi="ar"/>
        </w:rPr>
        <w:t>矿井采用胶带输送机运输方式，并采用调度绞车接力牵引 lt 系列矿车作为辅助运输方式。</w:t>
      </w:r>
    </w:p>
    <w:p>
      <w:pPr>
        <w:pStyle w:val="5"/>
        <w:widowControl/>
        <w:spacing w:line="620" w:lineRule="exact"/>
        <w:ind w:left="0" w:firstLine="602" w:firstLineChars="200"/>
        <w:jc w:val="both"/>
        <w:rPr>
          <w:rFonts w:hint="default" w:cs="宋体"/>
          <w:spacing w:val="0"/>
          <w:sz w:val="30"/>
          <w:szCs w:val="30"/>
        </w:rPr>
      </w:pPr>
      <w:r>
        <w:rPr>
          <w:rFonts w:cs="宋体"/>
          <w:spacing w:val="0"/>
          <w:sz w:val="30"/>
          <w:szCs w:val="30"/>
        </w:rPr>
        <w:t>三、采煤方法</w:t>
      </w:r>
    </w:p>
    <w:p>
      <w:pPr>
        <w:pStyle w:val="11"/>
        <w:spacing w:line="620" w:lineRule="exact"/>
        <w:ind w:firstLine="600" w:firstLineChars="200"/>
        <w:jc w:val="both"/>
        <w:rPr>
          <w:spacing w:val="0"/>
          <w:sz w:val="30"/>
          <w:szCs w:val="30"/>
        </w:rPr>
      </w:pPr>
      <w:r>
        <w:rPr>
          <w:rFonts w:hint="eastAsia"/>
          <w:spacing w:val="0"/>
          <w:sz w:val="30"/>
          <w:szCs w:val="30"/>
          <w:lang w:val="en-US" w:bidi="ar"/>
        </w:rPr>
        <w:t>依据《乌海市海南区滴沥帮乌素煤矿二矿技术改造初步设计说明书》矿井采用走向长壁全部垮落炮采采煤法。</w:t>
      </w:r>
    </w:p>
    <w:p>
      <w:pPr>
        <w:pStyle w:val="5"/>
        <w:widowControl/>
        <w:spacing w:line="620" w:lineRule="exact"/>
        <w:ind w:left="0" w:firstLine="602" w:firstLineChars="200"/>
        <w:jc w:val="both"/>
        <w:rPr>
          <w:rFonts w:hint="default" w:cs="宋体"/>
          <w:spacing w:val="0"/>
          <w:sz w:val="30"/>
          <w:szCs w:val="30"/>
        </w:rPr>
      </w:pPr>
      <w:r>
        <w:rPr>
          <w:rFonts w:cs="宋体"/>
          <w:spacing w:val="0"/>
          <w:sz w:val="30"/>
          <w:szCs w:val="30"/>
        </w:rPr>
        <w:t>四、工业场地</w:t>
      </w:r>
    </w:p>
    <w:p>
      <w:pPr>
        <w:pStyle w:val="11"/>
        <w:spacing w:line="620" w:lineRule="exact"/>
        <w:ind w:firstLine="600" w:firstLineChars="200"/>
        <w:jc w:val="both"/>
        <w:rPr>
          <w:spacing w:val="0"/>
          <w:sz w:val="30"/>
          <w:szCs w:val="30"/>
        </w:rPr>
      </w:pPr>
      <w:r>
        <w:rPr>
          <w:rFonts w:hint="eastAsia"/>
          <w:spacing w:val="0"/>
          <w:sz w:val="30"/>
          <w:szCs w:val="30"/>
          <w:lang w:val="en-US" w:bidi="ar"/>
        </w:rPr>
        <w:t>矿山建设有两个工业场地，分别是主工业场地和副工业场地。主立井在主工业场地内，副立井在副工业场地内。</w:t>
      </w:r>
    </w:p>
    <w:p>
      <w:pPr>
        <w:pStyle w:val="11"/>
        <w:spacing w:line="620" w:lineRule="exact"/>
        <w:ind w:firstLine="600" w:firstLineChars="200"/>
        <w:jc w:val="both"/>
        <w:rPr>
          <w:spacing w:val="0"/>
          <w:sz w:val="30"/>
          <w:szCs w:val="30"/>
        </w:rPr>
      </w:pPr>
      <w:r>
        <w:rPr>
          <w:rFonts w:hint="eastAsia"/>
          <w:spacing w:val="0"/>
          <w:sz w:val="30"/>
          <w:szCs w:val="30"/>
          <w:lang w:val="en-US" w:bidi="ar"/>
        </w:rPr>
        <w:t>现有设施有主副井，机修车间、材料库、坑木加工房、消防材料库、油脂库、地磅房等；筛分系统等生产系统设施和材料棚、矿灯房、自救器室、传达室、保健室等辅助设施。</w:t>
      </w:r>
    </w:p>
    <w:p>
      <w:pPr>
        <w:pStyle w:val="5"/>
        <w:widowControl/>
        <w:spacing w:line="620" w:lineRule="exact"/>
        <w:ind w:left="0" w:firstLine="602" w:firstLineChars="200"/>
        <w:jc w:val="both"/>
        <w:rPr>
          <w:rFonts w:hint="default" w:cs="宋体"/>
          <w:spacing w:val="0"/>
          <w:sz w:val="30"/>
          <w:szCs w:val="30"/>
        </w:rPr>
      </w:pPr>
      <w:r>
        <w:rPr>
          <w:rFonts w:cs="宋体"/>
          <w:spacing w:val="0"/>
          <w:sz w:val="30"/>
          <w:szCs w:val="30"/>
        </w:rPr>
        <w:t>五、主要废弃物类型及处置情况</w:t>
      </w:r>
    </w:p>
    <w:p>
      <w:pPr>
        <w:pStyle w:val="11"/>
        <w:spacing w:line="620" w:lineRule="exact"/>
        <w:ind w:firstLine="600" w:firstLineChars="200"/>
        <w:jc w:val="both"/>
        <w:rPr>
          <w:spacing w:val="0"/>
          <w:sz w:val="30"/>
          <w:szCs w:val="30"/>
        </w:rPr>
      </w:pPr>
      <w:r>
        <w:rPr>
          <w:rFonts w:hint="eastAsia"/>
          <w:spacing w:val="0"/>
          <w:sz w:val="30"/>
          <w:szCs w:val="30"/>
          <w:lang w:val="en-US" w:bidi="ar"/>
        </w:rPr>
        <w:t>根据《乌海市海南区滴沥帮乌素煤矿二矿技术改造初步设计说明书》，该矿在生产过程中产生的主要固体废弃物为煤矸石、工业场地产生的锅炉灰渣和生活垃圾。矸石集中堆放于工业场地内，产生的废石全部回填于未来实际形成的塌陷坑。</w:t>
      </w:r>
    </w:p>
    <w:p>
      <w:pPr>
        <w:pStyle w:val="11"/>
        <w:spacing w:before="7"/>
        <w:ind w:left="220" w:leftChars="100" w:right="220" w:rightChars="100" w:firstLine="600" w:firstLineChars="200"/>
        <w:rPr>
          <w:spacing w:val="0"/>
          <w:sz w:val="30"/>
          <w:szCs w:val="30"/>
        </w:rPr>
      </w:pPr>
    </w:p>
    <w:p>
      <w:pPr>
        <w:pStyle w:val="2"/>
        <w:widowControl/>
        <w:ind w:right="220" w:rightChars="100"/>
        <w:rPr>
          <w:rFonts w:ascii="宋体" w:hAnsi="宋体" w:eastAsia="宋体" w:cs="黑体"/>
          <w:spacing w:val="0"/>
          <w:sz w:val="36"/>
          <w:szCs w:val="36"/>
        </w:rPr>
      </w:pPr>
      <w:bookmarkStart w:id="6" w:name="_Toc7678"/>
      <w:r>
        <w:rPr>
          <w:rFonts w:hint="eastAsia" w:ascii="宋体" w:hAnsi="宋体" w:eastAsia="宋体" w:cs="黑体"/>
          <w:spacing w:val="0"/>
          <w:sz w:val="36"/>
          <w:szCs w:val="36"/>
        </w:rPr>
        <w:t>第二章</w:t>
      </w:r>
      <w:r>
        <w:rPr>
          <w:rFonts w:hint="eastAsia" w:ascii="宋体" w:hAnsi="宋体" w:eastAsia="宋体" w:cs="黑体"/>
          <w:spacing w:val="0"/>
          <w:sz w:val="36"/>
          <w:szCs w:val="36"/>
        </w:rPr>
        <w:tab/>
      </w:r>
      <w:r>
        <w:rPr>
          <w:rFonts w:hint="eastAsia" w:ascii="宋体" w:hAnsi="宋体" w:eastAsia="宋体" w:cs="黑体"/>
          <w:spacing w:val="0"/>
          <w:sz w:val="36"/>
          <w:szCs w:val="36"/>
          <w:lang w:val="en-US" w:eastAsia="zh-CN"/>
        </w:rPr>
        <w:t xml:space="preserve"> </w:t>
      </w:r>
      <w:r>
        <w:rPr>
          <w:rFonts w:hint="eastAsia" w:ascii="宋体" w:hAnsi="宋体" w:eastAsia="宋体" w:cs="黑体"/>
          <w:spacing w:val="0"/>
          <w:sz w:val="36"/>
          <w:szCs w:val="36"/>
        </w:rPr>
        <w:t>矿山环境现状及发展趋势</w:t>
      </w:r>
      <w:bookmarkEnd w:id="6"/>
    </w:p>
    <w:p>
      <w:pPr>
        <w:pStyle w:val="11"/>
        <w:spacing w:line="620" w:lineRule="exact"/>
        <w:ind w:firstLine="600" w:firstLineChars="200"/>
        <w:jc w:val="both"/>
        <w:rPr>
          <w:spacing w:val="0"/>
          <w:sz w:val="30"/>
          <w:szCs w:val="30"/>
        </w:rPr>
      </w:pPr>
      <w:r>
        <w:rPr>
          <w:rFonts w:hint="eastAsia"/>
          <w:spacing w:val="0"/>
          <w:sz w:val="30"/>
          <w:szCs w:val="30"/>
          <w:lang w:val="en-US" w:bidi="ar"/>
        </w:rPr>
        <w:t xml:space="preserve">滴沥帮煤矿现状条件下存在的矿山环境问题主要有土地、植被资源的占用与破坏、水资源与水环境的变化两个方面。 </w:t>
      </w:r>
    </w:p>
    <w:p>
      <w:pPr>
        <w:pStyle w:val="3"/>
        <w:widowControl/>
        <w:spacing w:before="0" w:after="0" w:line="620" w:lineRule="exact"/>
        <w:jc w:val="center"/>
        <w:rPr>
          <w:rFonts w:ascii="宋体" w:hAnsi="宋体" w:eastAsia="宋体"/>
          <w:b/>
          <w:bCs/>
          <w:spacing w:val="0"/>
          <w:sz w:val="30"/>
        </w:rPr>
      </w:pPr>
      <w:bookmarkStart w:id="7" w:name="_Toc16014"/>
      <w:r>
        <w:rPr>
          <w:rFonts w:hint="eastAsia" w:ascii="宋体" w:hAnsi="宋体" w:eastAsia="宋体" w:cs="黑体"/>
          <w:b/>
          <w:bCs/>
          <w:spacing w:val="0"/>
          <w:sz w:val="30"/>
        </w:rPr>
        <w:t>第一节 矿山环境现状</w:t>
      </w:r>
      <w:bookmarkEnd w:id="7"/>
    </w:p>
    <w:p>
      <w:pPr>
        <w:pStyle w:val="5"/>
        <w:widowControl/>
        <w:numPr>
          <w:ilvl w:val="2"/>
          <w:numId w:val="5"/>
        </w:numPr>
        <w:spacing w:line="620" w:lineRule="exact"/>
        <w:ind w:left="0" w:firstLine="602" w:firstLineChars="200"/>
        <w:jc w:val="both"/>
        <w:rPr>
          <w:rFonts w:hint="default" w:cs="宋体"/>
          <w:spacing w:val="0"/>
          <w:sz w:val="30"/>
          <w:szCs w:val="30"/>
        </w:rPr>
      </w:pPr>
      <w:r>
        <w:rPr>
          <w:rFonts w:cs="宋体"/>
          <w:spacing w:val="0"/>
          <w:sz w:val="30"/>
          <w:szCs w:val="30"/>
        </w:rPr>
        <w:t>矿山开采已占用破坏土地、植被</w:t>
      </w:r>
    </w:p>
    <w:p>
      <w:pPr>
        <w:pStyle w:val="11"/>
        <w:spacing w:line="620" w:lineRule="exact"/>
        <w:ind w:firstLine="600" w:firstLineChars="200"/>
        <w:jc w:val="both"/>
        <w:rPr>
          <w:color w:val="auto"/>
          <w:spacing w:val="0"/>
          <w:sz w:val="30"/>
          <w:szCs w:val="30"/>
        </w:rPr>
      </w:pPr>
      <w:r>
        <w:rPr>
          <w:rFonts w:hint="eastAsia"/>
          <w:spacing w:val="0"/>
          <w:sz w:val="30"/>
          <w:szCs w:val="30"/>
          <w:lang w:val="en-US" w:bidi="ar"/>
        </w:rPr>
        <w:t xml:space="preserve">矿区土地总面积为 </w:t>
      </w:r>
      <w:r>
        <w:rPr>
          <w:spacing w:val="0"/>
          <w:sz w:val="30"/>
          <w:szCs w:val="30"/>
          <w:lang w:val="en-US" w:bidi="ar"/>
        </w:rPr>
        <w:t>1.4472km</w:t>
      </w:r>
      <w:r>
        <w:rPr>
          <w:rFonts w:hint="eastAsia"/>
          <w:spacing w:val="0"/>
          <w:sz w:val="30"/>
          <w:szCs w:val="30"/>
          <w:vertAlign w:val="superscript"/>
          <w:lang w:val="en-US" w:eastAsia="zh-CN" w:bidi="ar"/>
        </w:rPr>
        <w:t>2</w:t>
      </w:r>
      <w:r>
        <w:rPr>
          <w:rFonts w:hint="eastAsia"/>
          <w:spacing w:val="0"/>
          <w:sz w:val="30"/>
          <w:szCs w:val="30"/>
          <w:lang w:val="en-US" w:bidi="ar"/>
        </w:rPr>
        <w:t>，土地类型为</w:t>
      </w:r>
      <w:r>
        <w:rPr>
          <w:rFonts w:hint="eastAsia"/>
          <w:color w:val="auto"/>
          <w:spacing w:val="0"/>
          <w:sz w:val="30"/>
          <w:szCs w:val="30"/>
          <w:lang w:val="en-US" w:eastAsia="zh-CN" w:bidi="ar"/>
        </w:rPr>
        <w:t>荒山荒地</w:t>
      </w:r>
      <w:r>
        <w:rPr>
          <w:rFonts w:hint="eastAsia"/>
          <w:color w:val="auto"/>
          <w:spacing w:val="0"/>
          <w:sz w:val="30"/>
          <w:szCs w:val="30"/>
          <w:lang w:val="en-US" w:bidi="ar"/>
        </w:rPr>
        <w:t>。</w:t>
      </w:r>
    </w:p>
    <w:p>
      <w:pPr>
        <w:pStyle w:val="11"/>
        <w:spacing w:line="620" w:lineRule="exact"/>
        <w:ind w:firstLine="600" w:firstLineChars="200"/>
        <w:jc w:val="both"/>
        <w:rPr>
          <w:spacing w:val="0"/>
          <w:sz w:val="30"/>
          <w:szCs w:val="30"/>
        </w:rPr>
      </w:pPr>
      <w:r>
        <w:rPr>
          <w:rFonts w:hint="eastAsia"/>
          <w:spacing w:val="0"/>
          <w:sz w:val="30"/>
          <w:szCs w:val="30"/>
          <w:lang w:val="en-US" w:bidi="ar"/>
        </w:rPr>
        <w:t>根据现场调查，对土地、植被资源占用的有工业场地、办公区和储煤场。分述如下：</w:t>
      </w:r>
    </w:p>
    <w:p>
      <w:pPr>
        <w:pStyle w:val="5"/>
        <w:widowControl/>
        <w:spacing w:line="620" w:lineRule="exact"/>
        <w:ind w:left="0" w:firstLine="602" w:firstLineChars="200"/>
        <w:jc w:val="both"/>
        <w:rPr>
          <w:rFonts w:hint="default" w:cs="宋体"/>
          <w:spacing w:val="0"/>
          <w:sz w:val="30"/>
          <w:szCs w:val="30"/>
        </w:rPr>
      </w:pPr>
      <w:r>
        <w:rPr>
          <w:rFonts w:cs="宋体"/>
          <w:spacing w:val="0"/>
          <w:sz w:val="30"/>
          <w:szCs w:val="30"/>
        </w:rPr>
        <w:t>一、工业场地</w:t>
      </w:r>
    </w:p>
    <w:p>
      <w:pPr>
        <w:pStyle w:val="11"/>
        <w:spacing w:line="620" w:lineRule="exact"/>
        <w:ind w:firstLine="600" w:firstLineChars="200"/>
        <w:jc w:val="both"/>
        <w:rPr>
          <w:spacing w:val="0"/>
          <w:sz w:val="30"/>
          <w:szCs w:val="30"/>
        </w:rPr>
      </w:pPr>
      <w:r>
        <w:rPr>
          <w:rFonts w:hint="eastAsia"/>
          <w:spacing w:val="0"/>
          <w:sz w:val="30"/>
          <w:szCs w:val="30"/>
          <w:lang w:val="en-US" w:bidi="ar"/>
        </w:rPr>
        <w:t>工业场地位分主工业场地和副工业场地，主工业场地位于矿区西南部，占地面积0.0033km</w:t>
      </w:r>
      <w:r>
        <w:rPr>
          <w:rFonts w:hint="eastAsia"/>
          <w:spacing w:val="0"/>
          <w:sz w:val="30"/>
          <w:szCs w:val="30"/>
          <w:vertAlign w:val="superscript"/>
          <w:lang w:val="en-US" w:eastAsia="zh-CN" w:bidi="ar"/>
        </w:rPr>
        <w:t>2</w:t>
      </w:r>
      <w:r>
        <w:rPr>
          <w:rFonts w:hint="eastAsia"/>
          <w:spacing w:val="0"/>
          <w:sz w:val="30"/>
          <w:szCs w:val="30"/>
          <w:lang w:val="en-US" w:bidi="ar"/>
        </w:rPr>
        <w:t>，副工业场地位于矿区南部，占地面积 0.0070km</w:t>
      </w:r>
      <w:r>
        <w:rPr>
          <w:rFonts w:hint="eastAsia"/>
          <w:spacing w:val="0"/>
          <w:sz w:val="30"/>
          <w:szCs w:val="30"/>
          <w:vertAlign w:val="superscript"/>
          <w:lang w:val="en-US" w:eastAsia="zh-CN" w:bidi="ar"/>
        </w:rPr>
        <w:t>2</w:t>
      </w:r>
      <w:r>
        <w:rPr>
          <w:rFonts w:hint="eastAsia"/>
          <w:spacing w:val="0"/>
          <w:sz w:val="30"/>
          <w:szCs w:val="30"/>
          <w:lang w:val="en-US" w:bidi="ar"/>
        </w:rPr>
        <w:t>。占用土地类型均为</w:t>
      </w:r>
      <w:r>
        <w:rPr>
          <w:rFonts w:hint="eastAsia"/>
          <w:color w:val="auto"/>
          <w:spacing w:val="0"/>
          <w:sz w:val="30"/>
          <w:szCs w:val="30"/>
          <w:lang w:val="en-US" w:eastAsia="zh-CN" w:bidi="ar"/>
        </w:rPr>
        <w:t>荒草地</w:t>
      </w:r>
      <w:r>
        <w:rPr>
          <w:rFonts w:hint="eastAsia"/>
          <w:spacing w:val="0"/>
          <w:sz w:val="30"/>
          <w:szCs w:val="30"/>
          <w:lang w:val="en-US" w:bidi="ar"/>
        </w:rPr>
        <w:t>，破坏植被类型为干旱草原植被，破坏度 100%（见照片二、三）。</w:t>
      </w:r>
    </w:p>
    <w:p>
      <w:pPr>
        <w:ind w:left="481"/>
        <w:rPr>
          <w:sz w:val="20"/>
          <w:szCs w:val="20"/>
        </w:rPr>
      </w:pPr>
      <w:r>
        <w:rPr>
          <w:rFonts w:hint="eastAsia"/>
          <w:lang w:val="en-US" w:bidi="ar-SA"/>
        </w:rPr>
        <w:drawing>
          <wp:inline distT="0" distB="0" distL="114300" distR="114300">
            <wp:extent cx="2676525" cy="2019300"/>
            <wp:effectExtent l="0" t="0" r="9525"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8"/>
                    <a:stretch>
                      <a:fillRect/>
                    </a:stretch>
                  </pic:blipFill>
                  <pic:spPr>
                    <a:xfrm>
                      <a:off x="0" y="0"/>
                      <a:ext cx="2676525" cy="2019300"/>
                    </a:xfrm>
                    <a:prstGeom prst="rect">
                      <a:avLst/>
                    </a:prstGeom>
                    <a:noFill/>
                    <a:ln w="9525">
                      <a:noFill/>
                    </a:ln>
                  </pic:spPr>
                </pic:pic>
              </a:graphicData>
            </a:graphic>
          </wp:inline>
        </w:drawing>
      </w:r>
      <w:r>
        <w:rPr>
          <w:rFonts w:hint="eastAsia"/>
          <w:lang w:val="en-US" w:bidi="ar-SA"/>
        </w:rPr>
        <w:drawing>
          <wp:inline distT="0" distB="0" distL="114300" distR="114300">
            <wp:extent cx="2657475" cy="2019300"/>
            <wp:effectExtent l="0" t="0" r="9525" b="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9"/>
                    <a:stretch>
                      <a:fillRect/>
                    </a:stretch>
                  </pic:blipFill>
                  <pic:spPr>
                    <a:xfrm>
                      <a:off x="0" y="0"/>
                      <a:ext cx="2657475" cy="2019300"/>
                    </a:xfrm>
                    <a:prstGeom prst="rect">
                      <a:avLst/>
                    </a:prstGeom>
                    <a:noFill/>
                    <a:ln w="9525">
                      <a:noFill/>
                    </a:ln>
                  </pic:spPr>
                </pic:pic>
              </a:graphicData>
            </a:graphic>
          </wp:inline>
        </w:drawing>
      </w:r>
    </w:p>
    <w:p>
      <w:pPr>
        <w:ind w:firstLine="1890" w:firstLineChars="900"/>
        <w:rPr>
          <w:sz w:val="21"/>
          <w:szCs w:val="21"/>
        </w:rPr>
      </w:pPr>
      <w:r>
        <w:rPr>
          <w:rFonts w:hint="eastAsia"/>
          <w:sz w:val="21"/>
          <w:szCs w:val="21"/>
          <w:lang w:val="en-US" w:bidi="ar"/>
        </w:rPr>
        <w:t>照片二</w:t>
      </w:r>
      <w:r>
        <w:rPr>
          <w:rFonts w:hint="eastAsia"/>
          <w:sz w:val="21"/>
          <w:szCs w:val="21"/>
          <w:lang w:val="en-US" w:bidi="ar"/>
        </w:rPr>
        <w:tab/>
      </w:r>
      <w:r>
        <w:rPr>
          <w:rFonts w:hint="eastAsia"/>
          <w:sz w:val="21"/>
          <w:szCs w:val="21"/>
          <w:lang w:val="en-US" w:bidi="ar"/>
        </w:rPr>
        <w:t>工业场地</w:t>
      </w:r>
      <w:r>
        <w:rPr>
          <w:rFonts w:hint="eastAsia"/>
          <w:sz w:val="21"/>
          <w:szCs w:val="21"/>
          <w:lang w:val="en-US" w:bidi="ar"/>
        </w:rPr>
        <w:tab/>
      </w:r>
      <w:r>
        <w:rPr>
          <w:sz w:val="21"/>
          <w:szCs w:val="21"/>
          <w:lang w:val="en-US" w:bidi="ar"/>
        </w:rPr>
        <w:t xml:space="preserve">               </w:t>
      </w:r>
      <w:r>
        <w:rPr>
          <w:rFonts w:hint="eastAsia"/>
          <w:sz w:val="21"/>
          <w:szCs w:val="21"/>
          <w:lang w:val="en-US" w:bidi="ar"/>
        </w:rPr>
        <w:t>照片三</w:t>
      </w:r>
      <w:r>
        <w:rPr>
          <w:rFonts w:hint="eastAsia"/>
          <w:sz w:val="21"/>
          <w:szCs w:val="21"/>
          <w:lang w:val="en-US" w:bidi="ar"/>
        </w:rPr>
        <w:tab/>
      </w:r>
      <w:r>
        <w:rPr>
          <w:rFonts w:hint="eastAsia"/>
          <w:sz w:val="21"/>
          <w:szCs w:val="21"/>
          <w:lang w:val="en-US" w:bidi="ar"/>
        </w:rPr>
        <w:t>工业场地</w:t>
      </w:r>
    </w:p>
    <w:p>
      <w:pPr>
        <w:pStyle w:val="11"/>
        <w:rPr>
          <w:sz w:val="14"/>
          <w:szCs w:val="14"/>
        </w:rPr>
      </w:pPr>
      <w:r>
        <w:rPr>
          <w:rFonts w:hint="eastAsia"/>
          <w:sz w:val="14"/>
          <w:szCs w:val="14"/>
          <w:lang w:val="en-US" w:bidi="ar"/>
        </w:rPr>
        <w:t xml:space="preserve"> </w:t>
      </w:r>
    </w:p>
    <w:p>
      <w:pPr>
        <w:pStyle w:val="5"/>
        <w:widowControl/>
        <w:spacing w:line="620" w:lineRule="exact"/>
        <w:ind w:left="0" w:firstLine="602" w:firstLineChars="200"/>
        <w:rPr>
          <w:rFonts w:hint="default" w:cs="宋体"/>
          <w:sz w:val="30"/>
          <w:szCs w:val="30"/>
        </w:rPr>
      </w:pPr>
      <w:r>
        <w:rPr>
          <w:rFonts w:cs="宋体"/>
          <w:sz w:val="30"/>
          <w:szCs w:val="30"/>
        </w:rPr>
        <w:t>二、办公区</w:t>
      </w:r>
    </w:p>
    <w:p>
      <w:pPr>
        <w:pStyle w:val="11"/>
        <w:spacing w:line="620" w:lineRule="exact"/>
        <w:ind w:firstLine="600" w:firstLineChars="200"/>
        <w:rPr>
          <w:sz w:val="30"/>
          <w:szCs w:val="30"/>
        </w:rPr>
      </w:pPr>
      <w:r>
        <w:rPr>
          <w:rFonts w:hint="eastAsia"/>
          <w:sz w:val="30"/>
          <w:szCs w:val="30"/>
          <w:lang w:val="en-US" w:bidi="ar"/>
        </w:rPr>
        <w:t>位于主工业场地东部，占地面积 0.0016km</w:t>
      </w:r>
      <w:r>
        <w:rPr>
          <w:rFonts w:hint="eastAsia"/>
          <w:sz w:val="30"/>
          <w:szCs w:val="30"/>
          <w:vertAlign w:val="superscript"/>
          <w:lang w:val="en-US" w:eastAsia="zh-CN" w:bidi="ar"/>
        </w:rPr>
        <w:t>2</w:t>
      </w:r>
      <w:r>
        <w:rPr>
          <w:rFonts w:hint="eastAsia"/>
          <w:sz w:val="30"/>
          <w:szCs w:val="30"/>
          <w:lang w:val="en-US" w:bidi="ar"/>
        </w:rPr>
        <w:t>，占用的土地类型为天然草地，破坏植被类型为干旱草原植被，破坏度 100%（见照片四）。</w:t>
      </w:r>
    </w:p>
    <w:p>
      <w:pPr>
        <w:pStyle w:val="5"/>
        <w:widowControl/>
        <w:spacing w:line="620" w:lineRule="exact"/>
        <w:ind w:left="0" w:firstLine="602" w:firstLineChars="200"/>
        <w:rPr>
          <w:rFonts w:hint="default" w:cs="宋体"/>
          <w:sz w:val="30"/>
          <w:szCs w:val="30"/>
        </w:rPr>
      </w:pPr>
      <w:r>
        <w:rPr>
          <w:rFonts w:cs="宋体"/>
          <w:sz w:val="30"/>
          <w:szCs w:val="30"/>
        </w:rPr>
        <w:t>三、储煤场</w:t>
      </w:r>
    </w:p>
    <w:p>
      <w:pPr>
        <w:pStyle w:val="11"/>
        <w:spacing w:line="620" w:lineRule="exact"/>
        <w:ind w:firstLine="600" w:firstLineChars="200"/>
        <w:rPr>
          <w:sz w:val="30"/>
          <w:szCs w:val="30"/>
          <w:lang w:val="en-US" w:bidi="ar"/>
        </w:rPr>
      </w:pPr>
      <w:r>
        <w:rPr>
          <w:rFonts w:hint="eastAsia"/>
          <w:sz w:val="30"/>
          <w:szCs w:val="30"/>
          <w:lang w:val="en-US" w:bidi="ar"/>
        </w:rPr>
        <w:t>位于住工业场地南部，占地面积</w:t>
      </w:r>
      <w:r>
        <w:rPr>
          <w:rFonts w:hint="eastAsia"/>
          <w:color w:val="0000FF"/>
          <w:sz w:val="30"/>
          <w:szCs w:val="30"/>
          <w:lang w:val="en-US" w:bidi="ar"/>
        </w:rPr>
        <w:t xml:space="preserve"> </w:t>
      </w:r>
      <w:r>
        <w:rPr>
          <w:rFonts w:hint="eastAsia"/>
          <w:color w:val="auto"/>
          <w:sz w:val="30"/>
          <w:szCs w:val="30"/>
          <w:lang w:val="en-US" w:eastAsia="zh-CN" w:bidi="ar"/>
        </w:rPr>
        <w:t>0.0057</w:t>
      </w:r>
      <w:r>
        <w:rPr>
          <w:rFonts w:hint="eastAsia"/>
          <w:color w:val="auto"/>
          <w:sz w:val="30"/>
          <w:szCs w:val="30"/>
          <w:lang w:val="en-US" w:bidi="ar"/>
        </w:rPr>
        <w:t>m</w:t>
      </w:r>
      <w:r>
        <w:rPr>
          <w:color w:val="auto"/>
          <w:sz w:val="30"/>
          <w:szCs w:val="30"/>
          <w:vertAlign w:val="superscript"/>
          <w:lang w:val="en-US" w:bidi="ar"/>
        </w:rPr>
        <w:t>2</w:t>
      </w:r>
      <w:r>
        <w:rPr>
          <w:rFonts w:hint="eastAsia"/>
          <w:color w:val="auto"/>
          <w:sz w:val="30"/>
          <w:szCs w:val="30"/>
          <w:lang w:val="en-US" w:bidi="ar"/>
        </w:rPr>
        <w:t>，</w:t>
      </w:r>
      <w:r>
        <w:rPr>
          <w:rFonts w:hint="eastAsia"/>
          <w:sz w:val="30"/>
          <w:szCs w:val="30"/>
          <w:lang w:val="en-US" w:bidi="ar"/>
        </w:rPr>
        <w:t>占用的土地类型为天然草地，破坏植被类型为干旱草原植被，破坏度 100%（见照片五）。</w:t>
      </w:r>
    </w:p>
    <w:p>
      <w:pPr>
        <w:pStyle w:val="11"/>
        <w:spacing w:line="620" w:lineRule="exact"/>
        <w:ind w:firstLine="480" w:firstLineChars="200"/>
        <w:rPr>
          <w:sz w:val="30"/>
          <w:szCs w:val="30"/>
          <w:lang w:val="en-US" w:bidi="ar"/>
        </w:rPr>
      </w:pPr>
      <w:r>
        <w:rPr>
          <w:rFonts w:hint="eastAsia"/>
          <w:szCs w:val="24"/>
          <w:lang w:val="en-US" w:bidi="ar-SA"/>
        </w:rPr>
        <w:drawing>
          <wp:anchor distT="0" distB="0" distL="114300" distR="114300" simplePos="0" relativeHeight="251661312" behindDoc="0" locked="0" layoutInCell="1" allowOverlap="1">
            <wp:simplePos x="0" y="0"/>
            <wp:positionH relativeFrom="margin">
              <wp:posOffset>2948305</wp:posOffset>
            </wp:positionH>
            <wp:positionV relativeFrom="paragraph">
              <wp:posOffset>249555</wp:posOffset>
            </wp:positionV>
            <wp:extent cx="2657475" cy="2019300"/>
            <wp:effectExtent l="0" t="0" r="9525" b="0"/>
            <wp:wrapNone/>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57475" cy="2019300"/>
                    </a:xfrm>
                    <a:prstGeom prst="rect">
                      <a:avLst/>
                    </a:prstGeom>
                    <a:noFill/>
                    <a:ln w="9525">
                      <a:noFill/>
                    </a:ln>
                  </pic:spPr>
                </pic:pic>
              </a:graphicData>
            </a:graphic>
          </wp:anchor>
        </w:drawing>
      </w:r>
      <w:r>
        <w:rPr>
          <w:rFonts w:hint="eastAsia"/>
          <w:szCs w:val="24"/>
          <w:lang w:val="en-US" w:bidi="ar-SA"/>
        </w:rPr>
        <w:drawing>
          <wp:anchor distT="0" distB="0" distL="114300" distR="114300" simplePos="0" relativeHeight="251660288" behindDoc="0" locked="0" layoutInCell="1" allowOverlap="1">
            <wp:simplePos x="0" y="0"/>
            <wp:positionH relativeFrom="column">
              <wp:posOffset>59055</wp:posOffset>
            </wp:positionH>
            <wp:positionV relativeFrom="paragraph">
              <wp:posOffset>237490</wp:posOffset>
            </wp:positionV>
            <wp:extent cx="2657475" cy="2019300"/>
            <wp:effectExtent l="0" t="0" r="9525" b="0"/>
            <wp:wrapNone/>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57475" cy="2019300"/>
                    </a:xfrm>
                    <a:prstGeom prst="rect">
                      <a:avLst/>
                    </a:prstGeom>
                    <a:noFill/>
                    <a:ln w="9525">
                      <a:noFill/>
                    </a:ln>
                  </pic:spPr>
                </pic:pic>
              </a:graphicData>
            </a:graphic>
          </wp:anchor>
        </w:drawing>
      </w:r>
    </w:p>
    <w:p>
      <w:pPr>
        <w:pStyle w:val="11"/>
        <w:spacing w:line="620" w:lineRule="exact"/>
        <w:ind w:firstLine="600" w:firstLineChars="200"/>
        <w:rPr>
          <w:sz w:val="30"/>
          <w:szCs w:val="30"/>
          <w:lang w:val="en-US" w:bidi="ar"/>
        </w:rPr>
      </w:pPr>
    </w:p>
    <w:p>
      <w:pPr>
        <w:pStyle w:val="11"/>
        <w:spacing w:line="620" w:lineRule="exact"/>
        <w:ind w:firstLine="600" w:firstLineChars="200"/>
        <w:rPr>
          <w:sz w:val="30"/>
          <w:szCs w:val="30"/>
          <w:lang w:val="en-US" w:bidi="ar"/>
        </w:rPr>
      </w:pPr>
    </w:p>
    <w:p>
      <w:pPr>
        <w:pStyle w:val="11"/>
        <w:spacing w:line="620" w:lineRule="exact"/>
        <w:ind w:firstLine="600" w:firstLineChars="200"/>
        <w:rPr>
          <w:rFonts w:hint="eastAsia"/>
          <w:sz w:val="30"/>
          <w:szCs w:val="30"/>
        </w:rPr>
      </w:pPr>
    </w:p>
    <w:tbl>
      <w:tblPr>
        <w:tblStyle w:val="12"/>
        <w:tblW w:w="13556" w:type="dxa"/>
        <w:tblCellSpacing w:w="0" w:type="dxa"/>
        <w:tblInd w:w="0" w:type="dxa"/>
        <w:tblLayout w:type="fixed"/>
        <w:tblCellMar>
          <w:top w:w="0" w:type="dxa"/>
          <w:left w:w="0" w:type="dxa"/>
          <w:bottom w:w="0" w:type="dxa"/>
          <w:right w:w="0" w:type="dxa"/>
        </w:tblCellMar>
      </w:tblPr>
      <w:tblGrid>
        <w:gridCol w:w="9356"/>
        <w:gridCol w:w="4200"/>
      </w:tblGrid>
      <w:tr>
        <w:trPr>
          <w:gridAfter w:val="1"/>
          <w:wAfter w:w="4200" w:type="dxa"/>
          <w:tblCellSpacing w:w="0" w:type="dxa"/>
        </w:trPr>
        <w:tc>
          <w:tcPr>
            <w:tcW w:w="9356" w:type="dxa"/>
            <w:shd w:val="clear" w:color="auto" w:fill="auto"/>
            <w:vAlign w:val="center"/>
          </w:tcPr>
          <w:p>
            <w:pPr>
              <w:rPr>
                <w:rFonts w:ascii="Calibri"/>
                <w:sz w:val="30"/>
                <w:szCs w:val="30"/>
              </w:rPr>
            </w:pPr>
          </w:p>
        </w:tc>
      </w:tr>
      <w:tr>
        <w:tblPrEx>
          <w:tblCellMar>
            <w:top w:w="0" w:type="dxa"/>
            <w:left w:w="0" w:type="dxa"/>
            <w:bottom w:w="0" w:type="dxa"/>
            <w:right w:w="0" w:type="dxa"/>
          </w:tblCellMar>
        </w:tblPrEx>
        <w:trPr>
          <w:tblCellSpacing w:w="0" w:type="dxa"/>
        </w:trPr>
        <w:tc>
          <w:tcPr>
            <w:tcW w:w="9356" w:type="dxa"/>
            <w:shd w:val="clear" w:color="auto" w:fill="auto"/>
            <w:vAlign w:val="center"/>
          </w:tcPr>
          <w:p>
            <w:pPr>
              <w:rPr>
                <w:rFonts w:ascii="Calibri"/>
                <w:sz w:val="24"/>
                <w:szCs w:val="24"/>
              </w:rPr>
            </w:pPr>
          </w:p>
          <w:p>
            <w:pPr>
              <w:rPr>
                <w:rFonts w:ascii="Calibri"/>
                <w:sz w:val="24"/>
                <w:szCs w:val="24"/>
              </w:rPr>
            </w:pPr>
          </w:p>
          <w:p>
            <w:pPr>
              <w:ind w:firstLine="1050" w:firstLineChars="500"/>
              <w:rPr>
                <w:rFonts w:hint="eastAsia" w:ascii="Calibri"/>
                <w:sz w:val="24"/>
                <w:szCs w:val="24"/>
              </w:rPr>
            </w:pPr>
            <w:r>
              <w:rPr>
                <w:rFonts w:hint="eastAsia"/>
                <w:sz w:val="21"/>
                <w:szCs w:val="21"/>
                <w:lang w:val="en-US" w:bidi="ar"/>
              </w:rPr>
              <w:t>照片四</w:t>
            </w:r>
            <w:r>
              <w:rPr>
                <w:rFonts w:hint="eastAsia"/>
                <w:sz w:val="21"/>
                <w:szCs w:val="21"/>
                <w:lang w:val="en-US" w:bidi="ar"/>
              </w:rPr>
              <w:tab/>
            </w:r>
            <w:r>
              <w:rPr>
                <w:rFonts w:hint="eastAsia"/>
                <w:sz w:val="21"/>
                <w:szCs w:val="21"/>
                <w:lang w:val="en-US" w:bidi="ar"/>
              </w:rPr>
              <w:t>办公区                              照片</w:t>
            </w:r>
            <w:r>
              <w:rPr>
                <w:sz w:val="21"/>
                <w:szCs w:val="21"/>
                <w:lang w:val="en-US" w:bidi="ar"/>
              </w:rPr>
              <w:t>五</w:t>
            </w:r>
            <w:r>
              <w:rPr>
                <w:rFonts w:hint="eastAsia"/>
                <w:sz w:val="21"/>
                <w:szCs w:val="21"/>
                <w:lang w:val="en-US" w:bidi="ar"/>
              </w:rPr>
              <w:t xml:space="preserve">  储煤场</w:t>
            </w:r>
          </w:p>
        </w:tc>
        <w:tc>
          <w:tcPr>
            <w:tcW w:w="4200" w:type="dxa"/>
            <w:shd w:val="clear" w:color="auto" w:fill="auto"/>
            <w:vAlign w:val="center"/>
          </w:tcPr>
          <w:p>
            <w:pPr>
              <w:widowControl/>
            </w:pPr>
          </w:p>
        </w:tc>
      </w:tr>
    </w:tbl>
    <w:p>
      <w:pPr>
        <w:rPr>
          <w:vanish/>
          <w:sz w:val="24"/>
          <w:szCs w:val="24"/>
        </w:rPr>
      </w:pPr>
    </w:p>
    <w:p>
      <w:pPr>
        <w:pStyle w:val="11"/>
        <w:spacing w:before="5"/>
        <w:rPr>
          <w:sz w:val="15"/>
          <w:szCs w:val="15"/>
        </w:rPr>
      </w:pPr>
      <w:r>
        <w:rPr>
          <w:rFonts w:hint="eastAsia"/>
          <w:sz w:val="15"/>
          <w:szCs w:val="15"/>
          <w:lang w:val="en-US" w:bidi="ar"/>
        </w:rPr>
        <w:t xml:space="preserve"> </w:t>
      </w:r>
    </w:p>
    <w:p>
      <w:pPr>
        <w:pStyle w:val="11"/>
        <w:spacing w:line="620" w:lineRule="exact"/>
        <w:ind w:firstLine="588" w:firstLineChars="200"/>
        <w:jc w:val="both"/>
        <w:rPr>
          <w:sz w:val="30"/>
          <w:szCs w:val="30"/>
        </w:rPr>
      </w:pPr>
      <w:r>
        <w:rPr>
          <w:rFonts w:hint="eastAsia"/>
          <w:spacing w:val="-3"/>
          <w:sz w:val="30"/>
          <w:szCs w:val="30"/>
          <w:lang w:val="en-US" w:bidi="ar"/>
        </w:rPr>
        <w:t xml:space="preserve">综上所述，矿山开采占用土地总面积为 </w:t>
      </w:r>
      <w:r>
        <w:rPr>
          <w:sz w:val="30"/>
          <w:szCs w:val="30"/>
          <w:lang w:val="en-US" w:bidi="ar"/>
        </w:rPr>
        <w:t>0.0157km</w:t>
      </w:r>
      <w:r>
        <w:rPr>
          <w:rFonts w:hint="eastAsia"/>
          <w:sz w:val="30"/>
          <w:szCs w:val="30"/>
          <w:vertAlign w:val="superscript"/>
          <w:lang w:val="en-US" w:eastAsia="zh-CN" w:bidi="ar"/>
        </w:rPr>
        <w:t>2</w:t>
      </w:r>
      <w:r>
        <w:rPr>
          <w:rFonts w:hint="eastAsia"/>
          <w:spacing w:val="-5"/>
          <w:sz w:val="30"/>
          <w:szCs w:val="30"/>
          <w:lang w:val="en-US" w:bidi="ar"/>
        </w:rPr>
        <w:t xml:space="preserve">，占矿区总面积的 </w:t>
      </w:r>
      <w:r>
        <w:rPr>
          <w:sz w:val="30"/>
          <w:szCs w:val="30"/>
          <w:lang w:val="en-US" w:bidi="ar"/>
        </w:rPr>
        <w:t>1.08%</w:t>
      </w:r>
      <w:r>
        <w:rPr>
          <w:rFonts w:hint="eastAsia"/>
          <w:sz w:val="30"/>
          <w:szCs w:val="30"/>
          <w:lang w:val="en-US" w:bidi="ar"/>
        </w:rPr>
        <w:t xml:space="preserve">。占用的土地类型为天然草地，破坏的植被类型为干旱草原植被。 </w:t>
      </w:r>
    </w:p>
    <w:p>
      <w:pPr>
        <w:pStyle w:val="5"/>
        <w:widowControl/>
        <w:numPr>
          <w:ilvl w:val="2"/>
          <w:numId w:val="5"/>
        </w:numPr>
        <w:spacing w:line="620" w:lineRule="exact"/>
        <w:ind w:left="0" w:firstLine="602" w:firstLineChars="200"/>
        <w:jc w:val="both"/>
        <w:rPr>
          <w:rFonts w:hint="default" w:cs="宋体"/>
          <w:sz w:val="30"/>
          <w:szCs w:val="30"/>
        </w:rPr>
      </w:pPr>
      <w:r>
        <w:rPr>
          <w:rFonts w:cs="宋体"/>
          <w:sz w:val="30"/>
          <w:szCs w:val="30"/>
        </w:rPr>
        <w:t>矿山开采已引发的地质灾害</w:t>
      </w:r>
    </w:p>
    <w:p>
      <w:pPr>
        <w:pStyle w:val="11"/>
        <w:spacing w:line="620" w:lineRule="exact"/>
        <w:ind w:firstLine="600" w:firstLineChars="200"/>
        <w:jc w:val="both"/>
        <w:rPr>
          <w:sz w:val="30"/>
          <w:szCs w:val="30"/>
        </w:rPr>
      </w:pPr>
      <w:r>
        <w:rPr>
          <w:rFonts w:hint="eastAsia"/>
          <w:sz w:val="30"/>
          <w:szCs w:val="30"/>
          <w:lang w:val="en-US" w:bidi="ar"/>
        </w:rPr>
        <w:t>据本次现场调查，矿区范围内由于原煤矿井工开采留下多处采空区，采空区总面积为 0.1170km</w:t>
      </w:r>
      <w:r>
        <w:rPr>
          <w:rFonts w:hint="eastAsia"/>
          <w:sz w:val="30"/>
          <w:szCs w:val="30"/>
          <w:vertAlign w:val="superscript"/>
          <w:lang w:val="en-US" w:eastAsia="zh-CN" w:bidi="ar"/>
        </w:rPr>
        <w:t>2</w:t>
      </w:r>
      <w:r>
        <w:rPr>
          <w:rFonts w:hint="eastAsia"/>
          <w:sz w:val="30"/>
          <w:szCs w:val="30"/>
          <w:lang w:val="en-US" w:bidi="ar"/>
        </w:rPr>
        <w:t xml:space="preserve">。区内采空区上部尚未引发地面塌陷和地裂缝等地质灾害。 </w:t>
      </w:r>
    </w:p>
    <w:p>
      <w:pPr>
        <w:pStyle w:val="5"/>
        <w:widowControl/>
        <w:numPr>
          <w:ilvl w:val="2"/>
          <w:numId w:val="5"/>
        </w:numPr>
        <w:spacing w:line="620" w:lineRule="exact"/>
        <w:ind w:left="0" w:firstLine="602" w:firstLineChars="200"/>
        <w:jc w:val="both"/>
        <w:rPr>
          <w:rFonts w:hint="default" w:cs="宋体"/>
          <w:sz w:val="30"/>
          <w:szCs w:val="30"/>
        </w:rPr>
      </w:pPr>
      <w:r>
        <w:rPr>
          <w:rFonts w:cs="宋体"/>
          <w:sz w:val="30"/>
          <w:szCs w:val="30"/>
        </w:rPr>
        <w:t>矿山开采对矿区及区域水资源、水环境的影响</w:t>
      </w:r>
    </w:p>
    <w:p>
      <w:pPr>
        <w:spacing w:line="620" w:lineRule="exact"/>
        <w:ind w:firstLine="602" w:firstLineChars="200"/>
        <w:jc w:val="both"/>
        <w:rPr>
          <w:sz w:val="30"/>
          <w:szCs w:val="30"/>
        </w:rPr>
      </w:pPr>
      <w:r>
        <w:rPr>
          <w:rFonts w:hint="eastAsia"/>
          <w:b/>
          <w:sz w:val="30"/>
          <w:szCs w:val="30"/>
          <w:lang w:val="en-US" w:bidi="ar"/>
        </w:rPr>
        <w:t>一、区域地表水、地下水系统简述</w:t>
      </w:r>
      <w:r>
        <w:rPr>
          <w:rFonts w:hint="eastAsia"/>
          <w:sz w:val="30"/>
          <w:szCs w:val="30"/>
          <w:lang w:val="en-US" w:bidi="ar"/>
        </w:rPr>
        <w:t>1、区域地表水系统简述</w:t>
      </w:r>
    </w:p>
    <w:p>
      <w:pPr>
        <w:pStyle w:val="11"/>
        <w:spacing w:line="620" w:lineRule="exact"/>
        <w:ind w:firstLine="600" w:firstLineChars="200"/>
        <w:jc w:val="both"/>
        <w:rPr>
          <w:sz w:val="30"/>
          <w:szCs w:val="30"/>
        </w:rPr>
      </w:pPr>
      <w:r>
        <w:rPr>
          <w:rFonts w:hint="eastAsia"/>
          <w:sz w:val="30"/>
          <w:szCs w:val="30"/>
          <w:lang w:val="en-US" w:bidi="ar"/>
        </w:rPr>
        <w:t>矿区主要地表水属黄河水系，最大径流量 5820m</w:t>
      </w:r>
      <w:r>
        <w:rPr>
          <w:sz w:val="30"/>
          <w:szCs w:val="30"/>
          <w:vertAlign w:val="superscript"/>
          <w:lang w:val="en-US" w:bidi="ar"/>
        </w:rPr>
        <w:t>3</w:t>
      </w:r>
      <w:r>
        <w:rPr>
          <w:rFonts w:hint="eastAsia"/>
          <w:sz w:val="30"/>
          <w:szCs w:val="30"/>
          <w:lang w:val="en-US" w:bidi="ar"/>
        </w:rPr>
        <w:t>/s，最小径流量 60.8m</w:t>
      </w:r>
      <w:r>
        <w:rPr>
          <w:sz w:val="30"/>
          <w:szCs w:val="30"/>
          <w:vertAlign w:val="superscript"/>
          <w:lang w:val="en-US" w:bidi="ar"/>
        </w:rPr>
        <w:t>3</w:t>
      </w:r>
      <w:r>
        <w:rPr>
          <w:rFonts w:hint="eastAsia"/>
          <w:sz w:val="30"/>
          <w:szCs w:val="30"/>
          <w:lang w:val="en-US" w:bidi="ar"/>
        </w:rPr>
        <w:t>/s，水位标高 1063～1069m，水位埋深 2.5～11.6m。该区年降水量少且集中，大部分以地表径流形式排泄于区外，最终汇入黄河。</w:t>
      </w:r>
    </w:p>
    <w:p>
      <w:pPr>
        <w:pStyle w:val="11"/>
        <w:spacing w:line="620" w:lineRule="exact"/>
        <w:ind w:firstLine="600" w:firstLineChars="200"/>
        <w:jc w:val="both"/>
        <w:rPr>
          <w:sz w:val="30"/>
          <w:szCs w:val="30"/>
        </w:rPr>
      </w:pPr>
      <w:r>
        <w:rPr>
          <w:sz w:val="30"/>
          <w:szCs w:val="30"/>
          <w:lang w:val="en-US" w:bidi="ar"/>
        </w:rPr>
        <w:t>2</w:t>
      </w:r>
      <w:r>
        <w:rPr>
          <w:rFonts w:hint="eastAsia"/>
          <w:sz w:val="30"/>
          <w:szCs w:val="30"/>
          <w:lang w:val="en-US" w:bidi="ar"/>
        </w:rPr>
        <w:t>、区域地下水系统简述</w:t>
      </w:r>
    </w:p>
    <w:p>
      <w:pPr>
        <w:pStyle w:val="11"/>
        <w:spacing w:line="620" w:lineRule="exact"/>
        <w:ind w:firstLine="600" w:firstLineChars="200"/>
        <w:jc w:val="both"/>
        <w:rPr>
          <w:sz w:val="30"/>
          <w:szCs w:val="30"/>
        </w:rPr>
      </w:pPr>
      <w:r>
        <w:rPr>
          <w:rFonts w:hint="eastAsia"/>
          <w:sz w:val="30"/>
          <w:szCs w:val="30"/>
          <w:lang w:val="en-US" w:bidi="ar"/>
        </w:rPr>
        <w:t>（1）基岩裂隙水</w:t>
      </w:r>
    </w:p>
    <w:p>
      <w:pPr>
        <w:pStyle w:val="11"/>
        <w:spacing w:line="620" w:lineRule="exact"/>
        <w:ind w:firstLine="600" w:firstLineChars="200"/>
        <w:jc w:val="both"/>
        <w:rPr>
          <w:sz w:val="30"/>
          <w:szCs w:val="30"/>
        </w:rPr>
      </w:pPr>
      <w:r>
        <w:rPr>
          <w:rFonts w:hint="eastAsia"/>
          <w:sz w:val="30"/>
          <w:szCs w:val="30"/>
          <w:lang w:val="en-US" w:bidi="ar"/>
        </w:rPr>
        <w:t>矿区位于区域基岩裂隙水的迳流区。基岩裂隙发育深度和强度受地形、岩性、构造等影响，差异很大，一般随地形标高及原生构造的强度而增加。含水层厚度 41.55～ 52.20m，由于隔水层（泥岩）的存在，使大气降水渗入地下者甚少，补给来源贫乏。</w:t>
      </w:r>
    </w:p>
    <w:p>
      <w:pPr>
        <w:pStyle w:val="5"/>
        <w:widowControl/>
        <w:spacing w:line="620" w:lineRule="exact"/>
        <w:ind w:left="0" w:firstLine="602" w:firstLineChars="200"/>
        <w:jc w:val="both"/>
        <w:rPr>
          <w:rFonts w:hint="default"/>
          <w:b w:val="0"/>
          <w:sz w:val="30"/>
          <w:szCs w:val="30"/>
        </w:rPr>
      </w:pPr>
      <w:r>
        <w:rPr>
          <w:rFonts w:cs="宋体"/>
          <w:sz w:val="30"/>
          <w:szCs w:val="30"/>
        </w:rPr>
        <w:t>二、疏干水</w:t>
      </w:r>
    </w:p>
    <w:p>
      <w:pPr>
        <w:pStyle w:val="11"/>
        <w:spacing w:line="620" w:lineRule="exact"/>
        <w:ind w:firstLine="600" w:firstLineChars="200"/>
        <w:jc w:val="both"/>
        <w:rPr>
          <w:sz w:val="30"/>
          <w:szCs w:val="30"/>
        </w:rPr>
      </w:pPr>
      <w:r>
        <w:rPr>
          <w:rFonts w:hint="eastAsia"/>
          <w:sz w:val="30"/>
          <w:szCs w:val="30"/>
          <w:lang w:val="en-US" w:bidi="ar"/>
        </w:rPr>
        <w:t>滴沥帮煤矿井下正常开采时，矿井涌水量为 192m</w:t>
      </w:r>
      <w:r>
        <w:rPr>
          <w:sz w:val="30"/>
          <w:szCs w:val="30"/>
          <w:vertAlign w:val="superscript"/>
          <w:lang w:val="en-US" w:bidi="ar"/>
        </w:rPr>
        <w:t>3</w:t>
      </w:r>
      <w:r>
        <w:rPr>
          <w:rFonts w:hint="eastAsia"/>
          <w:sz w:val="30"/>
          <w:szCs w:val="30"/>
          <w:lang w:val="en-US" w:bidi="ar"/>
        </w:rPr>
        <w:t>/d，预测最大涌水量为 384m</w:t>
      </w:r>
      <w:r>
        <w:rPr>
          <w:sz w:val="30"/>
          <w:szCs w:val="30"/>
          <w:vertAlign w:val="superscript"/>
          <w:lang w:val="en-US" w:bidi="ar"/>
        </w:rPr>
        <w:t>3</w:t>
      </w:r>
      <w:r>
        <w:rPr>
          <w:rFonts w:hint="eastAsia"/>
          <w:sz w:val="30"/>
          <w:szCs w:val="30"/>
          <w:lang w:val="en-US" w:bidi="ar"/>
        </w:rPr>
        <w:t>/d。根据《内蒙古</w:t>
      </w:r>
      <w:r>
        <w:rPr>
          <w:rFonts w:hint="eastAsia"/>
          <w:sz w:val="30"/>
          <w:szCs w:val="30"/>
          <w:lang w:val="en-US" w:eastAsia="zh-CN" w:bidi="ar"/>
        </w:rPr>
        <w:t>内蒙古黄河工贸集团滴沥帮煤炭有限公司煤矿</w:t>
      </w:r>
      <w:r>
        <w:rPr>
          <w:rFonts w:hint="eastAsia"/>
          <w:sz w:val="30"/>
          <w:szCs w:val="30"/>
          <w:lang w:val="en-US" w:bidi="ar"/>
        </w:rPr>
        <w:t>二矿技术改造初步设计说明书》， 预测未来矿山开采时，其最大疏干水量为 384m</w:t>
      </w:r>
      <w:r>
        <w:rPr>
          <w:sz w:val="30"/>
          <w:szCs w:val="30"/>
          <w:vertAlign w:val="superscript"/>
          <w:lang w:val="en-US" w:bidi="ar"/>
        </w:rPr>
        <w:t>3</w:t>
      </w:r>
      <w:r>
        <w:rPr>
          <w:rFonts w:hint="eastAsia"/>
          <w:sz w:val="30"/>
          <w:szCs w:val="30"/>
          <w:lang w:val="en-US" w:bidi="ar"/>
        </w:rPr>
        <w:t>/d（16m</w:t>
      </w:r>
      <w:r>
        <w:rPr>
          <w:sz w:val="30"/>
          <w:szCs w:val="30"/>
          <w:vertAlign w:val="superscript"/>
          <w:lang w:val="en-US" w:bidi="ar"/>
        </w:rPr>
        <w:t>3</w:t>
      </w:r>
      <w:r>
        <w:rPr>
          <w:rFonts w:hint="eastAsia"/>
          <w:sz w:val="30"/>
          <w:szCs w:val="30"/>
          <w:lang w:val="en-US" w:bidi="ar"/>
        </w:rPr>
        <w:t xml:space="preserve">/h）。 </w:t>
      </w:r>
    </w:p>
    <w:p>
      <w:pPr>
        <w:pStyle w:val="3"/>
        <w:widowControl/>
        <w:ind w:left="220" w:leftChars="100" w:right="220" w:rightChars="100" w:firstLine="602" w:firstLineChars="200"/>
        <w:jc w:val="center"/>
        <w:rPr>
          <w:rFonts w:ascii="宋体" w:hAnsi="宋体" w:eastAsia="宋体"/>
          <w:b/>
          <w:bCs/>
          <w:sz w:val="30"/>
        </w:rPr>
      </w:pPr>
      <w:bookmarkStart w:id="8" w:name="_Toc28055"/>
      <w:r>
        <w:rPr>
          <w:rFonts w:hint="eastAsia" w:ascii="宋体" w:hAnsi="宋体" w:eastAsia="宋体" w:cs="黑体"/>
          <w:b/>
          <w:bCs/>
          <w:sz w:val="30"/>
        </w:rPr>
        <w:t>第二节 矿山（地质）环境发展趋势分析</w:t>
      </w:r>
      <w:bookmarkEnd w:id="8"/>
    </w:p>
    <w:p>
      <w:pPr>
        <w:pStyle w:val="5"/>
        <w:widowControl/>
        <w:numPr>
          <w:ilvl w:val="2"/>
          <w:numId w:val="6"/>
        </w:numPr>
        <w:spacing w:line="620" w:lineRule="exact"/>
        <w:ind w:left="0" w:firstLine="602" w:firstLineChars="200"/>
        <w:jc w:val="both"/>
        <w:rPr>
          <w:rFonts w:hint="default"/>
          <w:sz w:val="30"/>
          <w:szCs w:val="30"/>
        </w:rPr>
      </w:pPr>
      <w:r>
        <w:rPr>
          <w:rFonts w:cs="宋体"/>
          <w:sz w:val="30"/>
          <w:szCs w:val="30"/>
        </w:rPr>
        <w:t>矿山开采占用破坏土地、植被发展趋势分析</w:t>
      </w:r>
      <w:r>
        <w:rPr>
          <w:sz w:val="30"/>
          <w:szCs w:val="30"/>
          <w:lang w:bidi="ar"/>
        </w:rPr>
        <w:t xml:space="preserve"> </w:t>
      </w:r>
    </w:p>
    <w:p>
      <w:pPr>
        <w:pStyle w:val="11"/>
        <w:spacing w:line="620" w:lineRule="exact"/>
        <w:ind w:firstLine="572" w:firstLineChars="200"/>
        <w:jc w:val="both"/>
        <w:rPr>
          <w:sz w:val="30"/>
          <w:szCs w:val="30"/>
        </w:rPr>
      </w:pPr>
      <w:r>
        <w:rPr>
          <w:rFonts w:hint="eastAsia"/>
          <w:spacing w:val="-7"/>
          <w:sz w:val="30"/>
          <w:szCs w:val="30"/>
          <w:lang w:val="en-US" w:bidi="ar"/>
        </w:rPr>
        <w:t>滴沥帮煤矿二矿为已投产矿山，属井工开采，随着矿山的进一步开采，地下将会</w:t>
      </w:r>
      <w:r>
        <w:rPr>
          <w:rFonts w:hint="eastAsia"/>
          <w:spacing w:val="-6"/>
          <w:sz w:val="30"/>
          <w:szCs w:val="30"/>
          <w:lang w:val="en-US" w:bidi="ar"/>
        </w:rPr>
        <w:t>产生采空区并逐渐增大，在采空区的上部可能引发地面塌陷地质灾害。因此，矿山开</w:t>
      </w:r>
      <w:r>
        <w:rPr>
          <w:rFonts w:hint="eastAsia"/>
          <w:spacing w:val="-10"/>
          <w:sz w:val="30"/>
          <w:szCs w:val="30"/>
          <w:lang w:val="en-US" w:bidi="ar"/>
        </w:rPr>
        <w:t>采新增占用、破坏土地植被资源的主要为采空塌陷区，从而增加土地、植被资源的破</w:t>
      </w:r>
      <w:r>
        <w:rPr>
          <w:rFonts w:hint="eastAsia"/>
          <w:sz w:val="30"/>
          <w:szCs w:val="30"/>
          <w:lang w:val="en-US" w:bidi="ar"/>
        </w:rPr>
        <w:t xml:space="preserve">坏面积。 </w:t>
      </w:r>
    </w:p>
    <w:p>
      <w:pPr>
        <w:pStyle w:val="5"/>
        <w:widowControl/>
        <w:numPr>
          <w:ilvl w:val="2"/>
          <w:numId w:val="6"/>
        </w:numPr>
        <w:spacing w:line="620" w:lineRule="exact"/>
        <w:ind w:left="0" w:firstLine="602" w:firstLineChars="200"/>
        <w:jc w:val="both"/>
        <w:rPr>
          <w:rFonts w:hint="default"/>
          <w:sz w:val="30"/>
          <w:szCs w:val="30"/>
        </w:rPr>
      </w:pPr>
      <w:r>
        <w:rPr>
          <w:rFonts w:cs="宋体"/>
          <w:sz w:val="30"/>
          <w:szCs w:val="30"/>
        </w:rPr>
        <w:t>矿山开采引发的地质灾害发展趋势分析</w:t>
      </w:r>
      <w:r>
        <w:rPr>
          <w:sz w:val="30"/>
          <w:szCs w:val="30"/>
          <w:lang w:bidi="ar"/>
        </w:rPr>
        <w:t xml:space="preserve"> </w:t>
      </w:r>
    </w:p>
    <w:p>
      <w:pPr>
        <w:pStyle w:val="11"/>
        <w:spacing w:line="620" w:lineRule="exact"/>
        <w:ind w:firstLine="572" w:firstLineChars="200"/>
        <w:jc w:val="both"/>
        <w:rPr>
          <w:sz w:val="30"/>
          <w:szCs w:val="30"/>
        </w:rPr>
      </w:pPr>
      <w:r>
        <w:rPr>
          <w:rFonts w:hint="eastAsia"/>
          <w:spacing w:val="-7"/>
          <w:sz w:val="30"/>
          <w:szCs w:val="30"/>
          <w:lang w:val="en-US" w:bidi="ar"/>
        </w:rPr>
        <w:t>滴沥帮煤矿二矿为井工开采，随着采空区的不断增大，未来矿山开采将可能在采</w:t>
      </w:r>
      <w:r>
        <w:rPr>
          <w:rFonts w:hint="eastAsia"/>
          <w:spacing w:val="-5"/>
          <w:sz w:val="30"/>
          <w:szCs w:val="30"/>
          <w:lang w:val="en-US" w:bidi="ar"/>
        </w:rPr>
        <w:t xml:space="preserve">空区采深采厚比值小于 </w:t>
      </w:r>
      <w:r>
        <w:rPr>
          <w:rFonts w:hint="eastAsia"/>
          <w:sz w:val="30"/>
          <w:szCs w:val="30"/>
          <w:lang w:val="en-US" w:bidi="ar"/>
        </w:rPr>
        <w:t>30</w:t>
      </w:r>
      <w:r>
        <w:rPr>
          <w:rFonts w:hint="eastAsia"/>
          <w:spacing w:val="-9"/>
          <w:sz w:val="30"/>
          <w:szCs w:val="30"/>
          <w:lang w:val="en-US" w:bidi="ar"/>
        </w:rPr>
        <w:t xml:space="preserve"> 的地段引发地面塌陷地质灾害，在地面塌陷的周围伴随有</w:t>
      </w:r>
      <w:r>
        <w:rPr>
          <w:rFonts w:hint="eastAsia"/>
          <w:sz w:val="30"/>
          <w:szCs w:val="30"/>
          <w:lang w:val="en-US" w:bidi="ar"/>
        </w:rPr>
        <w:t>小型伴生裂缝的发生；在采深采厚比大于 30 的地段引发地面沉陷地质灾害。</w:t>
      </w:r>
      <w:bookmarkStart w:id="20" w:name="_GoBack"/>
      <w:bookmarkEnd w:id="20"/>
      <w:r>
        <w:rPr>
          <w:rFonts w:hint="eastAsia"/>
          <w:sz w:val="30"/>
          <w:szCs w:val="30"/>
          <w:lang w:val="en-US" w:bidi="ar"/>
        </w:rPr>
        <w:t xml:space="preserve"> </w:t>
      </w:r>
    </w:p>
    <w:p>
      <w:pPr>
        <w:pStyle w:val="5"/>
        <w:widowControl/>
        <w:numPr>
          <w:ilvl w:val="2"/>
          <w:numId w:val="6"/>
        </w:numPr>
        <w:spacing w:line="620" w:lineRule="exact"/>
        <w:ind w:left="0" w:firstLine="602" w:firstLineChars="200"/>
        <w:jc w:val="both"/>
        <w:rPr>
          <w:rFonts w:hint="default"/>
          <w:sz w:val="30"/>
          <w:szCs w:val="30"/>
        </w:rPr>
      </w:pPr>
      <w:r>
        <w:rPr>
          <w:rFonts w:cs="宋体"/>
          <w:sz w:val="30"/>
          <w:szCs w:val="30"/>
        </w:rPr>
        <w:t>矿山开采对矿区及区域水资源、水环境的影响发展趋势分析</w:t>
      </w:r>
      <w:r>
        <w:rPr>
          <w:sz w:val="30"/>
          <w:szCs w:val="30"/>
          <w:lang w:bidi="ar"/>
        </w:rPr>
        <w:t xml:space="preserve"> </w:t>
      </w:r>
    </w:p>
    <w:p>
      <w:pPr>
        <w:pStyle w:val="11"/>
        <w:spacing w:line="620" w:lineRule="exact"/>
        <w:ind w:firstLine="560" w:firstLineChars="200"/>
        <w:jc w:val="both"/>
        <w:rPr>
          <w:sz w:val="30"/>
          <w:szCs w:val="30"/>
        </w:rPr>
      </w:pPr>
      <w:r>
        <w:rPr>
          <w:rFonts w:hint="eastAsia"/>
          <w:spacing w:val="-10"/>
          <w:sz w:val="30"/>
          <w:szCs w:val="30"/>
          <w:lang w:val="en-US" w:bidi="ar"/>
        </w:rPr>
        <w:t>矿区属于黄河水系，区内地表水体不发育，降水大部分以地表径流形式排泄于区</w:t>
      </w:r>
      <w:r>
        <w:rPr>
          <w:rFonts w:hint="eastAsia"/>
          <w:spacing w:val="-2"/>
          <w:sz w:val="30"/>
          <w:szCs w:val="30"/>
          <w:lang w:val="en-US" w:bidi="ar"/>
        </w:rPr>
        <w:t xml:space="preserve">外；依据目前煤矿开采资料，矿井正常开采时，地下涌水量为 </w:t>
      </w:r>
      <w:r>
        <w:rPr>
          <w:rFonts w:hint="eastAsia"/>
          <w:sz w:val="30"/>
          <w:szCs w:val="30"/>
          <w:lang w:val="en-US" w:bidi="ar"/>
        </w:rPr>
        <w:t>192m</w:t>
      </w:r>
      <w:r>
        <w:rPr>
          <w:sz w:val="30"/>
          <w:szCs w:val="30"/>
          <w:vertAlign w:val="superscript"/>
          <w:lang w:val="en-US" w:bidi="ar"/>
        </w:rPr>
        <w:t>3</w:t>
      </w:r>
      <w:r>
        <w:rPr>
          <w:rFonts w:hint="eastAsia"/>
          <w:sz w:val="30"/>
          <w:szCs w:val="30"/>
          <w:lang w:val="en-US" w:bidi="ar"/>
        </w:rPr>
        <w:t>/d，</w:t>
      </w:r>
      <w:r>
        <w:rPr>
          <w:rFonts w:hint="eastAsia"/>
          <w:spacing w:val="-3"/>
          <w:sz w:val="30"/>
          <w:szCs w:val="30"/>
          <w:lang w:val="en-US" w:bidi="ar"/>
        </w:rPr>
        <w:t>预测最大用</w:t>
      </w:r>
      <w:r>
        <w:rPr>
          <w:rFonts w:hint="eastAsia"/>
          <w:spacing w:val="-13"/>
          <w:sz w:val="30"/>
          <w:szCs w:val="30"/>
          <w:lang w:val="en-US" w:bidi="ar"/>
        </w:rPr>
        <w:t xml:space="preserve">水量为 </w:t>
      </w:r>
      <w:r>
        <w:rPr>
          <w:rFonts w:hint="eastAsia"/>
          <w:sz w:val="30"/>
          <w:szCs w:val="30"/>
          <w:lang w:val="en-US" w:bidi="ar"/>
        </w:rPr>
        <w:t>384 m</w:t>
      </w:r>
      <w:r>
        <w:rPr>
          <w:sz w:val="30"/>
          <w:szCs w:val="30"/>
          <w:vertAlign w:val="superscript"/>
          <w:lang w:val="en-US" w:bidi="ar"/>
        </w:rPr>
        <w:t>3</w:t>
      </w:r>
      <w:r>
        <w:rPr>
          <w:rFonts w:hint="eastAsia"/>
          <w:sz w:val="30"/>
          <w:szCs w:val="30"/>
          <w:lang w:val="en-US" w:bidi="ar"/>
        </w:rPr>
        <w:t>/d；</w:t>
      </w:r>
      <w:r>
        <w:rPr>
          <w:rFonts w:hint="eastAsia"/>
          <w:spacing w:val="-5"/>
          <w:sz w:val="30"/>
          <w:szCs w:val="30"/>
          <w:lang w:val="en-US" w:bidi="ar"/>
        </w:rPr>
        <w:t xml:space="preserve">矿山生产、生活用水量为 </w:t>
      </w:r>
      <w:r>
        <w:rPr>
          <w:rFonts w:hint="eastAsia"/>
          <w:sz w:val="30"/>
          <w:szCs w:val="30"/>
          <w:lang w:val="en-US" w:bidi="ar"/>
        </w:rPr>
        <w:t>231.62 m</w:t>
      </w:r>
      <w:r>
        <w:rPr>
          <w:sz w:val="30"/>
          <w:szCs w:val="30"/>
          <w:vertAlign w:val="superscript"/>
          <w:lang w:val="en-US" w:bidi="ar"/>
        </w:rPr>
        <w:t>3</w:t>
      </w:r>
      <w:r>
        <w:rPr>
          <w:rFonts w:hint="eastAsia"/>
          <w:sz w:val="30"/>
          <w:szCs w:val="30"/>
          <w:lang w:val="en-US" w:bidi="ar"/>
        </w:rPr>
        <w:t>/d</w:t>
      </w:r>
      <w:r>
        <w:rPr>
          <w:rFonts w:hint="eastAsia"/>
          <w:spacing w:val="-2"/>
          <w:sz w:val="30"/>
          <w:szCs w:val="30"/>
          <w:lang w:val="en-US" w:bidi="ar"/>
        </w:rPr>
        <w:t>。因此未来矿山开采对矿区及</w:t>
      </w:r>
      <w:r>
        <w:rPr>
          <w:rFonts w:hint="eastAsia"/>
          <w:sz w:val="30"/>
          <w:szCs w:val="30"/>
          <w:lang w:val="en-US" w:bidi="ar"/>
        </w:rPr>
        <w:t>区域水资源的影响较小。</w:t>
      </w:r>
    </w:p>
    <w:p>
      <w:pPr>
        <w:pStyle w:val="11"/>
        <w:spacing w:line="620" w:lineRule="exact"/>
        <w:ind w:firstLine="600" w:firstLineChars="200"/>
        <w:jc w:val="both"/>
        <w:rPr>
          <w:sz w:val="30"/>
          <w:szCs w:val="30"/>
          <w:lang w:val="en-US" w:bidi="ar"/>
        </w:rPr>
      </w:pPr>
      <w:r>
        <w:rPr>
          <w:rFonts w:hint="eastAsia"/>
          <w:sz w:val="30"/>
          <w:szCs w:val="30"/>
          <w:lang w:val="en-US" w:bidi="ar"/>
        </w:rPr>
        <w:t>滴沥帮煤矿二矿矿区范围内污水排放主要来自于工业场地， 排放量为234.08m</w:t>
      </w:r>
      <w:r>
        <w:rPr>
          <w:rFonts w:hint="eastAsia"/>
          <w:position w:val="12"/>
          <w:sz w:val="30"/>
          <w:szCs w:val="30"/>
          <w:vertAlign w:val="superscript"/>
          <w:lang w:val="en-US" w:bidi="ar"/>
        </w:rPr>
        <w:t>3</w:t>
      </w:r>
      <w:r>
        <w:rPr>
          <w:rFonts w:hint="eastAsia"/>
          <w:sz w:val="30"/>
          <w:szCs w:val="30"/>
          <w:lang w:val="en-US" w:bidi="ar"/>
        </w:rPr>
        <w:t>/d，污水排放量较小。因此，未来矿山开采对矿区及区域水环境影响较小。</w:t>
      </w:r>
    </w:p>
    <w:p>
      <w:pPr>
        <w:pStyle w:val="11"/>
        <w:spacing w:line="620" w:lineRule="exact"/>
        <w:ind w:firstLine="600" w:firstLineChars="200"/>
        <w:jc w:val="both"/>
        <w:rPr>
          <w:sz w:val="30"/>
          <w:szCs w:val="30"/>
          <w:lang w:val="en-US" w:bidi="ar"/>
        </w:rPr>
      </w:pPr>
    </w:p>
    <w:p>
      <w:pPr>
        <w:pStyle w:val="11"/>
        <w:spacing w:line="620" w:lineRule="exact"/>
        <w:ind w:firstLine="600" w:firstLineChars="200"/>
        <w:jc w:val="both"/>
        <w:rPr>
          <w:sz w:val="30"/>
          <w:szCs w:val="30"/>
          <w:lang w:val="en-US" w:bidi="ar"/>
        </w:rPr>
      </w:pPr>
    </w:p>
    <w:p>
      <w:pPr>
        <w:pStyle w:val="11"/>
        <w:spacing w:line="620" w:lineRule="exact"/>
        <w:ind w:firstLine="600" w:firstLineChars="200"/>
        <w:jc w:val="both"/>
        <w:rPr>
          <w:rFonts w:hint="eastAsia"/>
          <w:sz w:val="30"/>
          <w:szCs w:val="30"/>
        </w:rPr>
      </w:pPr>
    </w:p>
    <w:p>
      <w:pPr>
        <w:pStyle w:val="2"/>
        <w:widowControl/>
        <w:spacing w:before="189"/>
        <w:ind w:right="220" w:rightChars="100"/>
        <w:rPr>
          <w:rFonts w:ascii="宋体" w:hAnsi="宋体" w:eastAsia="宋体" w:cs="宋体"/>
          <w:sz w:val="36"/>
          <w:szCs w:val="36"/>
        </w:rPr>
      </w:pPr>
      <w:bookmarkStart w:id="9" w:name="_Toc2368"/>
      <w:r>
        <w:rPr>
          <w:rFonts w:hint="eastAsia" w:ascii="宋体" w:hAnsi="宋体" w:eastAsia="宋体" w:cs="黑体"/>
          <w:sz w:val="36"/>
          <w:szCs w:val="36"/>
        </w:rPr>
        <w:t>第三章</w:t>
      </w:r>
      <w:r>
        <w:rPr>
          <w:rFonts w:hint="eastAsia" w:ascii="宋体" w:hAnsi="宋体" w:eastAsia="宋体" w:cs="黑体"/>
          <w:sz w:val="36"/>
          <w:szCs w:val="36"/>
          <w:lang w:val="en-US" w:eastAsia="zh-CN"/>
        </w:rPr>
        <w:t xml:space="preserve"> </w:t>
      </w:r>
      <w:r>
        <w:rPr>
          <w:rFonts w:hint="eastAsia" w:ascii="宋体" w:hAnsi="宋体" w:eastAsia="宋体" w:cs="黑体"/>
          <w:sz w:val="36"/>
          <w:szCs w:val="36"/>
        </w:rPr>
        <w:tab/>
      </w:r>
      <w:r>
        <w:rPr>
          <w:rFonts w:hint="eastAsia" w:ascii="宋体" w:hAnsi="宋体" w:eastAsia="宋体" w:cs="黑体"/>
          <w:sz w:val="36"/>
          <w:szCs w:val="36"/>
        </w:rPr>
        <w:t>矿山环境影响评估</w:t>
      </w:r>
      <w:bookmarkEnd w:id="9"/>
    </w:p>
    <w:p>
      <w:pPr>
        <w:pStyle w:val="3"/>
        <w:widowControl/>
        <w:ind w:right="220" w:rightChars="100"/>
        <w:jc w:val="center"/>
        <w:rPr>
          <w:rFonts w:ascii="宋体" w:hAnsi="宋体" w:eastAsia="宋体"/>
          <w:b/>
          <w:bCs/>
          <w:sz w:val="30"/>
        </w:rPr>
      </w:pPr>
      <w:bookmarkStart w:id="10" w:name="_Toc27438"/>
      <w:r>
        <w:rPr>
          <w:rFonts w:hint="eastAsia" w:ascii="宋体" w:hAnsi="宋体" w:eastAsia="宋体" w:cs="黑体"/>
          <w:b/>
          <w:bCs/>
          <w:sz w:val="30"/>
        </w:rPr>
        <w:t>第一节 评估范围及评估精度确定</w:t>
      </w:r>
      <w:bookmarkEnd w:id="10"/>
    </w:p>
    <w:p>
      <w:pPr>
        <w:pStyle w:val="5"/>
        <w:widowControl/>
        <w:numPr>
          <w:ilvl w:val="2"/>
          <w:numId w:val="7"/>
        </w:numPr>
        <w:ind w:left="220" w:leftChars="100" w:right="220" w:rightChars="100" w:firstLine="602" w:firstLineChars="200"/>
        <w:rPr>
          <w:rFonts w:hint="default"/>
          <w:sz w:val="30"/>
          <w:szCs w:val="30"/>
        </w:rPr>
      </w:pPr>
      <w:r>
        <w:rPr>
          <w:rFonts w:cs="宋体"/>
          <w:sz w:val="30"/>
          <w:szCs w:val="30"/>
        </w:rPr>
        <w:t>矿山环境影响评估范围的确定</w:t>
      </w:r>
      <w:r>
        <w:rPr>
          <w:sz w:val="30"/>
          <w:szCs w:val="30"/>
          <w:lang w:bidi="ar"/>
        </w:rPr>
        <w:t xml:space="preserve"> </w:t>
      </w:r>
    </w:p>
    <w:p>
      <w:pPr>
        <w:pStyle w:val="11"/>
        <w:spacing w:line="620" w:lineRule="exact"/>
        <w:ind w:firstLine="600" w:firstLineChars="200"/>
        <w:jc w:val="both"/>
        <w:rPr>
          <w:sz w:val="30"/>
          <w:szCs w:val="30"/>
          <w:lang w:val="en-US" w:bidi="ar"/>
        </w:rPr>
      </w:pPr>
      <w:r>
        <w:rPr>
          <w:rFonts w:hint="eastAsia"/>
          <w:sz w:val="30"/>
          <w:szCs w:val="30"/>
          <w:lang w:val="en-US" w:bidi="ar"/>
        </w:rPr>
        <w:t>依据《编制规范》7.6.1，矿山环境影响评估范围应包括矿区、矿业活动影响范围和可能影响矿业活动的不良地质因素存在的范围。</w:t>
      </w:r>
    </w:p>
    <w:p>
      <w:pPr>
        <w:pStyle w:val="11"/>
        <w:spacing w:line="620" w:lineRule="exact"/>
        <w:ind w:firstLine="580" w:firstLineChars="200"/>
        <w:jc w:val="both"/>
        <w:rPr>
          <w:b/>
          <w:sz w:val="30"/>
          <w:szCs w:val="30"/>
        </w:rPr>
      </w:pPr>
      <w:r>
        <w:rPr>
          <w:rFonts w:hint="eastAsia"/>
          <w:spacing w:val="-5"/>
          <w:sz w:val="30"/>
          <w:szCs w:val="30"/>
          <w:lang w:val="en-US" w:bidi="ar"/>
        </w:rPr>
        <w:t xml:space="preserve">滴沥帮煤矿划定矿区面积 </w:t>
      </w:r>
      <w:r>
        <w:rPr>
          <w:rFonts w:hint="eastAsia"/>
          <w:sz w:val="30"/>
          <w:szCs w:val="30"/>
          <w:lang w:val="en-US" w:bidi="ar"/>
        </w:rPr>
        <w:t>1.4472km</w:t>
      </w:r>
      <w:r>
        <w:rPr>
          <w:sz w:val="30"/>
          <w:szCs w:val="30"/>
          <w:vertAlign w:val="superscript"/>
          <w:lang w:val="en-US" w:bidi="ar"/>
        </w:rPr>
        <w:t>2</w:t>
      </w:r>
      <w:r>
        <w:rPr>
          <w:rFonts w:hint="eastAsia"/>
          <w:sz w:val="30"/>
          <w:szCs w:val="30"/>
          <w:lang w:val="en-US" w:bidi="ar"/>
        </w:rPr>
        <w:t xml:space="preserve">。根据矿区地质环境条件、煤矿开采方式， </w:t>
      </w:r>
      <w:r>
        <w:rPr>
          <w:rFonts w:hint="eastAsia"/>
          <w:spacing w:val="-6"/>
          <w:sz w:val="30"/>
          <w:szCs w:val="30"/>
          <w:lang w:val="en-US" w:bidi="ar"/>
        </w:rPr>
        <w:t>以及矿山工业场地部署于矿区内的实际情况，将矿区范围确定为本次矿山环境影响评</w:t>
      </w:r>
      <w:r>
        <w:rPr>
          <w:rFonts w:hint="eastAsia"/>
          <w:spacing w:val="-9"/>
          <w:sz w:val="30"/>
          <w:szCs w:val="30"/>
          <w:lang w:val="en-US" w:bidi="ar"/>
        </w:rPr>
        <w:t xml:space="preserve">估范围面积为 </w:t>
      </w:r>
      <w:r>
        <w:rPr>
          <w:rFonts w:hint="eastAsia"/>
          <w:sz w:val="30"/>
          <w:szCs w:val="30"/>
          <w:lang w:val="en-US" w:bidi="ar"/>
        </w:rPr>
        <w:t>1.4472km</w:t>
      </w:r>
      <w:r>
        <w:rPr>
          <w:sz w:val="30"/>
          <w:szCs w:val="30"/>
          <w:vertAlign w:val="superscript"/>
          <w:lang w:val="en-US" w:bidi="ar"/>
        </w:rPr>
        <w:t>2</w:t>
      </w:r>
      <w:r>
        <w:rPr>
          <w:rFonts w:hint="eastAsia"/>
          <w:sz w:val="30"/>
          <w:szCs w:val="30"/>
          <w:lang w:val="en-US" w:bidi="ar"/>
        </w:rPr>
        <w:t xml:space="preserve">。 </w:t>
      </w:r>
      <w:r>
        <w:rPr>
          <w:sz w:val="30"/>
          <w:szCs w:val="30"/>
        </w:rPr>
        <w:t>矿山环境影响评估精度的确定</w:t>
      </w:r>
      <w:r>
        <w:rPr>
          <w:rFonts w:hint="eastAsia"/>
          <w:b/>
          <w:sz w:val="30"/>
          <w:szCs w:val="30"/>
          <w:lang w:val="en-US" w:bidi="ar"/>
        </w:rPr>
        <w:t xml:space="preserve"> </w:t>
      </w:r>
    </w:p>
    <w:p>
      <w:pPr>
        <w:spacing w:line="620" w:lineRule="exact"/>
        <w:ind w:firstLine="600" w:firstLineChars="200"/>
        <w:jc w:val="both"/>
        <w:rPr>
          <w:b/>
          <w:sz w:val="30"/>
          <w:szCs w:val="30"/>
        </w:rPr>
      </w:pPr>
      <w:r>
        <w:rPr>
          <w:rFonts w:hint="eastAsia"/>
          <w:sz w:val="30"/>
          <w:szCs w:val="30"/>
          <w:lang w:val="en-US" w:bidi="ar"/>
        </w:rPr>
        <w:t>一、</w:t>
      </w:r>
      <w:r>
        <w:rPr>
          <w:rFonts w:hint="eastAsia"/>
          <w:b/>
          <w:sz w:val="30"/>
          <w:szCs w:val="30"/>
          <w:lang w:val="en-US" w:bidi="ar"/>
        </w:rPr>
        <w:t>评估区重要程度</w:t>
      </w:r>
    </w:p>
    <w:p>
      <w:pPr>
        <w:pStyle w:val="11"/>
        <w:spacing w:line="620" w:lineRule="exact"/>
        <w:ind w:firstLine="584" w:firstLineChars="200"/>
        <w:jc w:val="both"/>
        <w:rPr>
          <w:sz w:val="30"/>
          <w:szCs w:val="30"/>
        </w:rPr>
      </w:pPr>
      <w:r>
        <w:rPr>
          <w:rFonts w:hint="eastAsia"/>
          <w:spacing w:val="-4"/>
          <w:sz w:val="30"/>
          <w:szCs w:val="30"/>
          <w:lang w:val="en-US" w:bidi="ar"/>
        </w:rPr>
        <w:t xml:space="preserve">评估区重要程度分析结果见表 </w:t>
      </w:r>
      <w:r>
        <w:rPr>
          <w:rFonts w:hint="eastAsia"/>
          <w:sz w:val="30"/>
          <w:szCs w:val="30"/>
          <w:lang w:val="en-US" w:bidi="ar"/>
        </w:rPr>
        <w:t>3-1</w:t>
      </w:r>
      <w:r>
        <w:rPr>
          <w:rFonts w:hint="eastAsia"/>
          <w:spacing w:val="-4"/>
          <w:sz w:val="30"/>
          <w:szCs w:val="30"/>
          <w:lang w:val="en-US" w:bidi="ar"/>
        </w:rPr>
        <w:t xml:space="preserve">，对照《编制规范》附录 </w:t>
      </w:r>
      <w:r>
        <w:rPr>
          <w:rFonts w:hint="eastAsia"/>
          <w:sz w:val="30"/>
          <w:szCs w:val="30"/>
          <w:lang w:val="en-US" w:bidi="ar"/>
        </w:rPr>
        <w:t>B</w:t>
      </w:r>
      <w:r>
        <w:rPr>
          <w:rFonts w:hint="eastAsia"/>
          <w:spacing w:val="-15"/>
          <w:sz w:val="30"/>
          <w:szCs w:val="30"/>
          <w:lang w:val="en-US" w:bidi="ar"/>
        </w:rPr>
        <w:t xml:space="preserve">、表 </w:t>
      </w:r>
      <w:r>
        <w:rPr>
          <w:rFonts w:hint="eastAsia"/>
          <w:sz w:val="30"/>
          <w:szCs w:val="30"/>
          <w:lang w:val="en-US" w:bidi="ar"/>
        </w:rPr>
        <w:t>B.1，确定评估区重要程度为“一般区”。</w:t>
      </w:r>
    </w:p>
    <w:p>
      <w:pPr>
        <w:pStyle w:val="5"/>
        <w:widowControl/>
        <w:spacing w:line="620" w:lineRule="exact"/>
        <w:ind w:left="0" w:firstLine="602" w:firstLineChars="200"/>
        <w:jc w:val="both"/>
        <w:rPr>
          <w:rFonts w:hint="default" w:cs="宋体"/>
          <w:sz w:val="30"/>
          <w:szCs w:val="30"/>
        </w:rPr>
      </w:pPr>
      <w:r>
        <w:rPr>
          <w:rFonts w:cs="宋体"/>
          <w:sz w:val="30"/>
          <w:szCs w:val="30"/>
        </w:rPr>
        <w:t>二、矿山生产建设规模</w:t>
      </w:r>
    </w:p>
    <w:p>
      <w:pPr>
        <w:pStyle w:val="11"/>
        <w:spacing w:line="620" w:lineRule="exact"/>
        <w:ind w:firstLine="600" w:firstLineChars="200"/>
        <w:jc w:val="both"/>
        <w:rPr>
          <w:sz w:val="30"/>
          <w:szCs w:val="30"/>
        </w:rPr>
      </w:pPr>
      <w:r>
        <w:rPr>
          <w:rFonts w:hint="eastAsia"/>
          <w:sz w:val="30"/>
          <w:szCs w:val="30"/>
          <w:lang w:val="en-US" w:bidi="ar"/>
        </w:rPr>
        <w:t>根据《滴沥帮煤矿初步设计修改说明书》，矿山开采方式为地下开采，年生产能力 0.3Mt。依据《编制规范》中附录 D.表 D.1“矿山生产规模分类一览表”，确定该矿山生产建设规模为“小型”。</w:t>
      </w:r>
    </w:p>
    <w:p>
      <w:pPr>
        <w:pStyle w:val="5"/>
        <w:widowControl/>
        <w:spacing w:line="620" w:lineRule="exact"/>
        <w:ind w:left="0" w:firstLine="602" w:firstLineChars="200"/>
        <w:jc w:val="both"/>
        <w:rPr>
          <w:rFonts w:hint="default" w:cs="宋体"/>
          <w:sz w:val="30"/>
          <w:szCs w:val="30"/>
        </w:rPr>
      </w:pPr>
      <w:r>
        <w:rPr>
          <w:rFonts w:cs="宋体"/>
          <w:sz w:val="30"/>
          <w:szCs w:val="30"/>
        </w:rPr>
        <w:t>三、矿山地质环境条件复杂程度</w:t>
      </w:r>
    </w:p>
    <w:p>
      <w:pPr>
        <w:pStyle w:val="11"/>
        <w:spacing w:line="620" w:lineRule="exact"/>
        <w:ind w:firstLine="600" w:firstLineChars="200"/>
        <w:jc w:val="both"/>
        <w:rPr>
          <w:sz w:val="30"/>
          <w:szCs w:val="30"/>
        </w:rPr>
      </w:pPr>
      <w:r>
        <w:rPr>
          <w:rFonts w:hint="eastAsia"/>
          <w:sz w:val="30"/>
          <w:szCs w:val="30"/>
          <w:lang w:val="en-US" w:bidi="ar"/>
        </w:rPr>
        <w:t>矿山地质环境条件复杂程度分析结果见表 3-1，对照《编制规范》C、表 C.1 分析，判定该矿山地质环境条件复杂程度为“中等”类型。</w:t>
      </w:r>
    </w:p>
    <w:p>
      <w:pPr>
        <w:pStyle w:val="5"/>
        <w:widowControl/>
        <w:spacing w:line="620" w:lineRule="exact"/>
        <w:ind w:left="0" w:firstLine="602" w:firstLineChars="200"/>
        <w:jc w:val="both"/>
        <w:rPr>
          <w:rFonts w:hint="default" w:cs="宋体"/>
          <w:sz w:val="30"/>
          <w:szCs w:val="30"/>
        </w:rPr>
      </w:pPr>
      <w:r>
        <w:rPr>
          <w:rFonts w:cs="宋体"/>
          <w:sz w:val="30"/>
          <w:szCs w:val="30"/>
        </w:rPr>
        <w:t>四、评估精度的确定</w:t>
      </w:r>
    </w:p>
    <w:p>
      <w:pPr>
        <w:pStyle w:val="11"/>
        <w:spacing w:line="620" w:lineRule="exact"/>
        <w:ind w:firstLine="600" w:firstLineChars="200"/>
        <w:jc w:val="both"/>
        <w:rPr>
          <w:sz w:val="30"/>
          <w:szCs w:val="30"/>
        </w:rPr>
      </w:pPr>
      <w:r>
        <w:rPr>
          <w:rFonts w:hint="eastAsia"/>
          <w:sz w:val="30"/>
          <w:szCs w:val="30"/>
          <w:lang w:val="en-US" w:bidi="ar"/>
        </w:rPr>
        <w:t>依据国土资源部 DZ/T223－2007《矿山环境保护与综合治理方案编制规范》来确定矿山环境影响评估精度。</w:t>
      </w:r>
    </w:p>
    <w:p>
      <w:pPr>
        <w:pStyle w:val="11"/>
        <w:spacing w:line="620" w:lineRule="exact"/>
        <w:ind w:firstLine="600" w:firstLineChars="200"/>
        <w:jc w:val="both"/>
        <w:rPr>
          <w:sz w:val="30"/>
          <w:szCs w:val="30"/>
          <w:lang w:val="en-US" w:bidi="ar"/>
        </w:rPr>
      </w:pPr>
      <w:r>
        <w:rPr>
          <w:rFonts w:hint="eastAsia"/>
          <w:sz w:val="30"/>
          <w:szCs w:val="30"/>
          <w:lang w:val="en-US" w:bidi="ar"/>
        </w:rPr>
        <w:t>滴沥帮煤矿矿山环境影响评估区重要程度分级为“一般区”，矿山建设规模为“小型”，矿区地质环境条件复杂程度属于“中等”类型，对照《编制规范》附录 A、表A.1“矿山环境影响评估精度分级表”，确定滴沥帮煤矿本次矿山环境影响评估精度为“三级”（见表 3-1）。</w:t>
      </w:r>
    </w:p>
    <w:p>
      <w:pPr>
        <w:spacing w:before="5"/>
        <w:jc w:val="center"/>
        <w:rPr>
          <w:b/>
          <w:sz w:val="21"/>
          <w:szCs w:val="21"/>
        </w:rPr>
      </w:pPr>
      <w:r>
        <w:rPr>
          <w:rFonts w:hint="eastAsia"/>
          <w:b/>
          <w:sz w:val="24"/>
          <w:szCs w:val="24"/>
          <w:lang w:val="en-US" w:bidi="ar"/>
        </w:rPr>
        <w:t>矿山环境影响评估精度分析表</w:t>
      </w:r>
      <w:r>
        <w:rPr>
          <w:rFonts w:hint="eastAsia"/>
          <w:b/>
          <w:sz w:val="24"/>
          <w:szCs w:val="24"/>
          <w:lang w:val="en-US" w:bidi="ar"/>
        </w:rPr>
        <w:tab/>
      </w:r>
      <w:r>
        <w:rPr>
          <w:rFonts w:hint="eastAsia"/>
          <w:b/>
          <w:sz w:val="21"/>
          <w:szCs w:val="21"/>
          <w:lang w:val="en-US" w:bidi="ar"/>
        </w:rPr>
        <w:t>表</w:t>
      </w:r>
      <w:r>
        <w:rPr>
          <w:rFonts w:hint="eastAsia"/>
          <w:b/>
          <w:spacing w:val="-55"/>
          <w:sz w:val="21"/>
          <w:szCs w:val="21"/>
          <w:lang w:val="en-US" w:bidi="ar"/>
        </w:rPr>
        <w:t xml:space="preserve"> </w:t>
      </w:r>
      <w:r>
        <w:rPr>
          <w:rFonts w:hint="eastAsia"/>
          <w:b/>
          <w:sz w:val="21"/>
          <w:szCs w:val="21"/>
          <w:lang w:val="en-US" w:bidi="ar"/>
        </w:rPr>
        <w:t>3-1</w:t>
      </w:r>
    </w:p>
    <w:p>
      <w:pPr>
        <w:pStyle w:val="11"/>
        <w:spacing w:before="5"/>
        <w:rPr>
          <w:b/>
          <w:sz w:val="12"/>
          <w:szCs w:val="12"/>
        </w:rPr>
      </w:pPr>
      <w:r>
        <w:rPr>
          <w:rFonts w:hint="eastAsia"/>
          <w:b/>
          <w:sz w:val="12"/>
          <w:szCs w:val="12"/>
          <w:lang w:val="en-US" w:bidi="ar"/>
        </w:rPr>
        <w:t xml:space="preserve"> </w:t>
      </w:r>
    </w:p>
    <w:tbl>
      <w:tblPr>
        <w:tblStyle w:val="12"/>
        <w:tblW w:w="9125" w:type="dxa"/>
        <w:tblInd w:w="31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08"/>
        <w:gridCol w:w="6276"/>
        <w:gridCol w:w="114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85" w:hRule="atLeast"/>
        </w:trPr>
        <w:tc>
          <w:tcPr>
            <w:tcW w:w="1708" w:type="dxa"/>
            <w:tcBorders>
              <w:top w:val="single" w:color="000000" w:sz="12" w:space="0"/>
              <w:left w:val="single" w:color="000000" w:sz="12" w:space="0"/>
              <w:bottom w:val="single" w:color="000000" w:sz="12" w:space="0"/>
              <w:right w:val="single" w:color="000000" w:sz="6" w:space="0"/>
            </w:tcBorders>
            <w:shd w:val="clear" w:color="auto" w:fill="auto"/>
          </w:tcPr>
          <w:p>
            <w:pPr>
              <w:pStyle w:val="40"/>
              <w:widowControl/>
              <w:spacing w:before="175"/>
              <w:ind w:left="18"/>
              <w:jc w:val="center"/>
              <w:rPr>
                <w:rFonts w:hint="default"/>
                <w:sz w:val="21"/>
                <w:szCs w:val="21"/>
              </w:rPr>
            </w:pPr>
            <w:r>
              <w:rPr>
                <w:rFonts w:cs="宋体"/>
                <w:sz w:val="21"/>
                <w:szCs w:val="21"/>
              </w:rPr>
              <w:t>项</w:t>
            </w:r>
            <w:r>
              <w:rPr>
                <w:rFonts w:cs="宋体"/>
                <w:sz w:val="21"/>
                <w:szCs w:val="21"/>
              </w:rPr>
              <w:tab/>
            </w:r>
            <w:r>
              <w:rPr>
                <w:rFonts w:cs="宋体"/>
                <w:sz w:val="21"/>
                <w:szCs w:val="21"/>
              </w:rPr>
              <w:t>目</w:t>
            </w:r>
          </w:p>
        </w:tc>
        <w:tc>
          <w:tcPr>
            <w:tcW w:w="6276" w:type="dxa"/>
            <w:tcBorders>
              <w:top w:val="single" w:color="000000" w:sz="12" w:space="0"/>
              <w:left w:val="nil"/>
              <w:bottom w:val="single" w:color="000000" w:sz="12" w:space="0"/>
              <w:right w:val="single" w:color="000000" w:sz="6" w:space="0"/>
            </w:tcBorders>
            <w:shd w:val="clear" w:color="auto" w:fill="auto"/>
          </w:tcPr>
          <w:p>
            <w:pPr>
              <w:pStyle w:val="40"/>
              <w:widowControl/>
              <w:spacing w:before="175"/>
              <w:ind w:left="1652" w:right="1625"/>
              <w:jc w:val="center"/>
              <w:rPr>
                <w:rFonts w:hint="default"/>
                <w:sz w:val="21"/>
                <w:szCs w:val="21"/>
              </w:rPr>
            </w:pPr>
            <w:r>
              <w:rPr>
                <w:rFonts w:cs="宋体"/>
                <w:sz w:val="21"/>
                <w:szCs w:val="21"/>
              </w:rPr>
              <w:t>分 析 要 素</w:t>
            </w:r>
          </w:p>
        </w:tc>
        <w:tc>
          <w:tcPr>
            <w:tcW w:w="1141" w:type="dxa"/>
            <w:tcBorders>
              <w:top w:val="single" w:color="000000" w:sz="12" w:space="0"/>
              <w:left w:val="nil"/>
              <w:bottom w:val="single" w:color="000000" w:sz="12" w:space="0"/>
              <w:right w:val="single" w:color="000000" w:sz="12" w:space="0"/>
            </w:tcBorders>
            <w:shd w:val="clear" w:color="auto" w:fill="auto"/>
          </w:tcPr>
          <w:p>
            <w:pPr>
              <w:pStyle w:val="40"/>
              <w:widowControl/>
              <w:spacing w:before="175"/>
              <w:ind w:left="157"/>
              <w:rPr>
                <w:rFonts w:hint="default"/>
                <w:b/>
                <w:sz w:val="21"/>
                <w:szCs w:val="21"/>
              </w:rPr>
            </w:pPr>
            <w:r>
              <w:rPr>
                <w:rFonts w:cs="宋体"/>
                <w:b/>
                <w:sz w:val="21"/>
                <w:szCs w:val="21"/>
              </w:rPr>
              <w:t>分析结果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17" w:hRule="atLeast"/>
        </w:trPr>
        <w:tc>
          <w:tcPr>
            <w:tcW w:w="1708" w:type="dxa"/>
            <w:tcBorders>
              <w:top w:val="single" w:color="000000" w:sz="12" w:space="0"/>
              <w:left w:val="single" w:color="000000" w:sz="12" w:space="0"/>
              <w:bottom w:val="single" w:color="000000" w:sz="6" w:space="0"/>
              <w:right w:val="single" w:color="000000" w:sz="6" w:space="0"/>
            </w:tcBorders>
            <w:shd w:val="clear" w:color="auto" w:fill="auto"/>
          </w:tcPr>
          <w:p>
            <w:pPr>
              <w:pStyle w:val="40"/>
              <w:widowControl/>
              <w:rPr>
                <w:rFonts w:hint="default"/>
                <w:b/>
                <w:sz w:val="21"/>
                <w:szCs w:val="21"/>
              </w:rPr>
            </w:pPr>
          </w:p>
          <w:p>
            <w:pPr>
              <w:pStyle w:val="40"/>
              <w:widowControl/>
              <w:rPr>
                <w:rFonts w:hint="default"/>
                <w:b/>
                <w:sz w:val="21"/>
                <w:szCs w:val="21"/>
              </w:rPr>
            </w:pPr>
          </w:p>
          <w:p>
            <w:pPr>
              <w:pStyle w:val="40"/>
              <w:widowControl/>
              <w:spacing w:before="11"/>
              <w:rPr>
                <w:rFonts w:hint="default"/>
                <w:b/>
                <w:sz w:val="21"/>
                <w:szCs w:val="21"/>
              </w:rPr>
            </w:pPr>
          </w:p>
          <w:p>
            <w:pPr>
              <w:pStyle w:val="40"/>
              <w:widowControl/>
              <w:ind w:left="18"/>
              <w:jc w:val="center"/>
              <w:rPr>
                <w:rFonts w:hint="default"/>
                <w:sz w:val="21"/>
                <w:szCs w:val="21"/>
              </w:rPr>
            </w:pPr>
            <w:r>
              <w:rPr>
                <w:rFonts w:cs="宋体"/>
                <w:sz w:val="21"/>
                <w:szCs w:val="21"/>
              </w:rPr>
              <w:t>评估区重要程度</w:t>
            </w:r>
          </w:p>
        </w:tc>
        <w:tc>
          <w:tcPr>
            <w:tcW w:w="6276" w:type="dxa"/>
            <w:tcBorders>
              <w:top w:val="single" w:color="000000" w:sz="12" w:space="0"/>
              <w:left w:val="nil"/>
              <w:bottom w:val="single" w:color="000000" w:sz="6" w:space="0"/>
              <w:right w:val="single" w:color="000000" w:sz="6" w:space="0"/>
            </w:tcBorders>
            <w:shd w:val="clear" w:color="auto" w:fill="auto"/>
          </w:tcPr>
          <w:p>
            <w:pPr>
              <w:pStyle w:val="40"/>
              <w:widowControl/>
              <w:numPr>
                <w:ilvl w:val="0"/>
                <w:numId w:val="8"/>
              </w:numPr>
              <w:spacing w:before="85"/>
              <w:ind w:hanging="318"/>
              <w:rPr>
                <w:rFonts w:hint="default"/>
                <w:sz w:val="21"/>
                <w:szCs w:val="21"/>
              </w:rPr>
            </w:pPr>
            <w:r>
              <w:rPr>
                <w:rFonts w:cs="宋体"/>
                <w:sz w:val="21"/>
                <w:szCs w:val="21"/>
              </w:rPr>
              <w:t>评估区内无居民；</w:t>
            </w:r>
          </w:p>
          <w:p>
            <w:pPr>
              <w:pStyle w:val="40"/>
              <w:widowControl/>
              <w:numPr>
                <w:ilvl w:val="0"/>
                <w:numId w:val="8"/>
              </w:numPr>
              <w:spacing w:before="91"/>
              <w:ind w:left="429"/>
              <w:rPr>
                <w:rFonts w:hint="default"/>
                <w:sz w:val="21"/>
                <w:szCs w:val="21"/>
              </w:rPr>
            </w:pPr>
            <w:r>
              <w:rPr>
                <w:rFonts w:cs="宋体"/>
                <w:sz w:val="21"/>
                <w:szCs w:val="21"/>
              </w:rPr>
              <w:t>无重要交通要道或建筑设施；</w:t>
            </w:r>
          </w:p>
          <w:p>
            <w:pPr>
              <w:pStyle w:val="40"/>
              <w:widowControl/>
              <w:numPr>
                <w:ilvl w:val="0"/>
                <w:numId w:val="8"/>
              </w:numPr>
              <w:spacing w:before="91"/>
              <w:ind w:left="429"/>
              <w:rPr>
                <w:rFonts w:hint="default"/>
                <w:sz w:val="21"/>
                <w:szCs w:val="21"/>
              </w:rPr>
            </w:pPr>
            <w:r>
              <w:rPr>
                <w:rFonts w:cs="宋体"/>
                <w:spacing w:val="-8"/>
                <w:sz w:val="21"/>
                <w:szCs w:val="21"/>
              </w:rPr>
              <w:t xml:space="preserve">评估区及周边 </w:t>
            </w:r>
            <w:r>
              <w:rPr>
                <w:rFonts w:hint="default" w:cs="宋体"/>
                <w:sz w:val="21"/>
                <w:szCs w:val="21"/>
              </w:rPr>
              <w:t>300m</w:t>
            </w:r>
            <w:r>
              <w:rPr>
                <w:rFonts w:hint="default" w:cs="宋体"/>
                <w:spacing w:val="-5"/>
                <w:sz w:val="21"/>
                <w:szCs w:val="21"/>
              </w:rPr>
              <w:t> </w:t>
            </w:r>
            <w:r>
              <w:rPr>
                <w:rFonts w:cs="宋体"/>
                <w:spacing w:val="-3"/>
                <w:sz w:val="21"/>
                <w:szCs w:val="21"/>
              </w:rPr>
              <w:t>范围内无各级自然保护区及旅游景区</w:t>
            </w:r>
            <w:r>
              <w:rPr>
                <w:rFonts w:cs="宋体"/>
                <w:sz w:val="21"/>
                <w:szCs w:val="21"/>
              </w:rPr>
              <w:t>（点</w:t>
            </w:r>
            <w:r>
              <w:rPr>
                <w:rFonts w:cs="宋体"/>
                <w:spacing w:val="-34"/>
                <w:sz w:val="21"/>
                <w:szCs w:val="21"/>
              </w:rPr>
              <w:t>）</w:t>
            </w:r>
          </w:p>
          <w:p>
            <w:pPr>
              <w:pStyle w:val="40"/>
              <w:widowControl/>
              <w:numPr>
                <w:ilvl w:val="0"/>
                <w:numId w:val="8"/>
              </w:numPr>
              <w:spacing w:before="91"/>
              <w:ind w:hanging="318"/>
              <w:rPr>
                <w:rFonts w:hint="default"/>
                <w:sz w:val="21"/>
                <w:szCs w:val="21"/>
              </w:rPr>
            </w:pPr>
            <w:r>
              <w:rPr>
                <w:rFonts w:cs="宋体"/>
                <w:sz w:val="21"/>
                <w:szCs w:val="21"/>
              </w:rPr>
              <w:t>无重要、较重要水源地；</w:t>
            </w:r>
          </w:p>
          <w:p>
            <w:pPr>
              <w:pStyle w:val="40"/>
              <w:widowControl/>
              <w:numPr>
                <w:ilvl w:val="0"/>
                <w:numId w:val="8"/>
              </w:numPr>
              <w:spacing w:before="91"/>
              <w:ind w:hanging="318"/>
              <w:rPr>
                <w:rFonts w:hint="default"/>
                <w:sz w:val="21"/>
                <w:szCs w:val="21"/>
              </w:rPr>
            </w:pPr>
            <w:r>
              <w:rPr>
                <w:rFonts w:cs="宋体"/>
                <w:sz w:val="21"/>
                <w:szCs w:val="21"/>
              </w:rPr>
              <w:t>矿区没有占用耕地。</w:t>
            </w:r>
          </w:p>
        </w:tc>
        <w:tc>
          <w:tcPr>
            <w:tcW w:w="1141" w:type="dxa"/>
            <w:tcBorders>
              <w:top w:val="single" w:color="000000" w:sz="12" w:space="0"/>
              <w:left w:val="nil"/>
              <w:bottom w:val="single" w:color="000000" w:sz="6" w:space="0"/>
              <w:right w:val="single" w:color="000000" w:sz="12" w:space="0"/>
            </w:tcBorders>
            <w:shd w:val="clear" w:color="auto" w:fill="auto"/>
            <w:vAlign w:val="center"/>
          </w:tcPr>
          <w:p>
            <w:pPr>
              <w:pStyle w:val="40"/>
              <w:widowControl/>
              <w:jc w:val="center"/>
              <w:rPr>
                <w:rFonts w:hint="default"/>
                <w:b/>
                <w:sz w:val="21"/>
                <w:szCs w:val="21"/>
              </w:rPr>
            </w:pPr>
          </w:p>
          <w:p>
            <w:pPr>
              <w:pStyle w:val="40"/>
              <w:widowControl/>
              <w:jc w:val="center"/>
              <w:rPr>
                <w:rFonts w:hint="default"/>
                <w:b/>
                <w:sz w:val="21"/>
                <w:szCs w:val="21"/>
              </w:rPr>
            </w:pPr>
          </w:p>
          <w:p>
            <w:pPr>
              <w:pStyle w:val="40"/>
              <w:widowControl/>
              <w:spacing w:before="11"/>
              <w:jc w:val="center"/>
              <w:rPr>
                <w:rFonts w:hint="default"/>
                <w:b/>
                <w:sz w:val="21"/>
                <w:szCs w:val="21"/>
              </w:rPr>
            </w:pPr>
          </w:p>
          <w:p>
            <w:pPr>
              <w:pStyle w:val="40"/>
              <w:widowControl/>
              <w:ind w:left="-119"/>
              <w:jc w:val="center"/>
              <w:rPr>
                <w:rFonts w:hint="default"/>
                <w:b/>
                <w:sz w:val="21"/>
                <w:szCs w:val="21"/>
              </w:rPr>
            </w:pPr>
            <w:r>
              <w:rPr>
                <w:rFonts w:cs="宋体"/>
                <w:b/>
                <w:sz w:val="21"/>
                <w:szCs w:val="21"/>
              </w:rPr>
              <w:t>一般区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15" w:hRule="atLeast"/>
        </w:trPr>
        <w:tc>
          <w:tcPr>
            <w:tcW w:w="1708" w:type="dxa"/>
            <w:tcBorders>
              <w:top w:val="single" w:color="000000" w:sz="6" w:space="0"/>
              <w:left w:val="single" w:color="000000" w:sz="12" w:space="0"/>
              <w:bottom w:val="single" w:color="000000" w:sz="6" w:space="0"/>
              <w:right w:val="single" w:color="000000" w:sz="6" w:space="0"/>
            </w:tcBorders>
            <w:shd w:val="clear" w:color="auto" w:fill="auto"/>
          </w:tcPr>
          <w:p>
            <w:pPr>
              <w:pStyle w:val="40"/>
              <w:widowControl/>
              <w:spacing w:before="156"/>
              <w:ind w:left="18"/>
              <w:jc w:val="center"/>
              <w:rPr>
                <w:rFonts w:hint="default"/>
                <w:sz w:val="21"/>
                <w:szCs w:val="21"/>
              </w:rPr>
            </w:pPr>
            <w:r>
              <w:rPr>
                <w:rFonts w:cs="宋体"/>
                <w:sz w:val="21"/>
                <w:szCs w:val="21"/>
              </w:rPr>
              <w:t>矿山建设规模</w:t>
            </w:r>
          </w:p>
        </w:tc>
        <w:tc>
          <w:tcPr>
            <w:tcW w:w="6276" w:type="dxa"/>
            <w:tcBorders>
              <w:top w:val="single" w:color="000000" w:sz="6" w:space="0"/>
              <w:left w:val="nil"/>
              <w:bottom w:val="single" w:color="000000" w:sz="6" w:space="0"/>
              <w:right w:val="single" w:color="000000" w:sz="6" w:space="0"/>
            </w:tcBorders>
            <w:shd w:val="clear" w:color="auto" w:fill="auto"/>
          </w:tcPr>
          <w:p>
            <w:pPr>
              <w:pStyle w:val="40"/>
              <w:widowControl/>
              <w:spacing w:before="156"/>
              <w:ind w:left="1652" w:right="1628"/>
              <w:jc w:val="center"/>
              <w:rPr>
                <w:rFonts w:hint="default"/>
                <w:sz w:val="21"/>
                <w:szCs w:val="21"/>
              </w:rPr>
            </w:pPr>
            <w:r>
              <w:rPr>
                <w:rFonts w:cs="宋体"/>
                <w:sz w:val="21"/>
                <w:szCs w:val="21"/>
              </w:rPr>
              <w:t>年生产能力 0.3Mt（井工开采）</w:t>
            </w:r>
          </w:p>
        </w:tc>
        <w:tc>
          <w:tcPr>
            <w:tcW w:w="1141" w:type="dxa"/>
            <w:tcBorders>
              <w:top w:val="single" w:color="000000" w:sz="6" w:space="0"/>
              <w:left w:val="nil"/>
              <w:bottom w:val="single" w:color="000000" w:sz="6" w:space="0"/>
              <w:right w:val="single" w:color="000000" w:sz="12" w:space="0"/>
            </w:tcBorders>
            <w:shd w:val="clear" w:color="auto" w:fill="auto"/>
            <w:vAlign w:val="center"/>
          </w:tcPr>
          <w:p>
            <w:pPr>
              <w:pStyle w:val="40"/>
              <w:widowControl/>
              <w:spacing w:before="156"/>
              <w:ind w:left="365"/>
              <w:jc w:val="both"/>
              <w:rPr>
                <w:rFonts w:hint="default"/>
                <w:b/>
                <w:sz w:val="21"/>
                <w:szCs w:val="21"/>
              </w:rPr>
            </w:pPr>
            <w:r>
              <w:rPr>
                <w:rFonts w:cs="宋体"/>
                <w:b/>
                <w:sz w:val="21"/>
                <w:szCs w:val="21"/>
              </w:rPr>
              <w:t>小型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97" w:hRule="atLeast"/>
        </w:trPr>
        <w:tc>
          <w:tcPr>
            <w:tcW w:w="1708" w:type="dxa"/>
            <w:tcBorders>
              <w:top w:val="single" w:color="000000" w:sz="6" w:space="0"/>
              <w:left w:val="single" w:color="000000" w:sz="12" w:space="0"/>
              <w:bottom w:val="single" w:color="000000" w:sz="6" w:space="0"/>
              <w:right w:val="single" w:color="000000" w:sz="6" w:space="0"/>
            </w:tcBorders>
            <w:shd w:val="clear" w:color="auto" w:fill="auto"/>
          </w:tcPr>
          <w:p>
            <w:pPr>
              <w:pStyle w:val="40"/>
              <w:widowControl/>
              <w:rPr>
                <w:rFonts w:hint="default"/>
                <w:b/>
                <w:sz w:val="21"/>
                <w:szCs w:val="21"/>
              </w:rPr>
            </w:pPr>
          </w:p>
          <w:p>
            <w:pPr>
              <w:pStyle w:val="40"/>
              <w:widowControl/>
              <w:rPr>
                <w:rFonts w:hint="default"/>
                <w:b/>
                <w:sz w:val="21"/>
                <w:szCs w:val="21"/>
              </w:rPr>
            </w:pPr>
          </w:p>
          <w:p>
            <w:pPr>
              <w:pStyle w:val="40"/>
              <w:widowControl/>
              <w:rPr>
                <w:rFonts w:hint="default"/>
                <w:b/>
                <w:sz w:val="21"/>
                <w:szCs w:val="21"/>
              </w:rPr>
            </w:pPr>
          </w:p>
          <w:p>
            <w:pPr>
              <w:pStyle w:val="40"/>
              <w:widowControl/>
              <w:rPr>
                <w:rFonts w:hint="default"/>
                <w:b/>
                <w:sz w:val="21"/>
                <w:szCs w:val="21"/>
              </w:rPr>
            </w:pPr>
          </w:p>
          <w:p>
            <w:pPr>
              <w:pStyle w:val="40"/>
              <w:widowControl/>
              <w:rPr>
                <w:rFonts w:hint="default"/>
                <w:b/>
                <w:sz w:val="21"/>
                <w:szCs w:val="21"/>
              </w:rPr>
            </w:pPr>
          </w:p>
          <w:p>
            <w:pPr>
              <w:pStyle w:val="40"/>
              <w:widowControl/>
              <w:rPr>
                <w:rFonts w:hint="default"/>
                <w:b/>
                <w:sz w:val="21"/>
                <w:szCs w:val="21"/>
              </w:rPr>
            </w:pPr>
          </w:p>
          <w:p>
            <w:pPr>
              <w:pStyle w:val="40"/>
              <w:widowControl/>
              <w:spacing w:before="178" w:line="319" w:lineRule="auto"/>
              <w:ind w:left="223" w:right="202" w:firstLine="367"/>
              <w:rPr>
                <w:rFonts w:hint="default"/>
                <w:sz w:val="21"/>
                <w:szCs w:val="21"/>
              </w:rPr>
            </w:pPr>
            <w:r>
              <w:rPr>
                <w:rFonts w:cs="宋体"/>
                <w:sz w:val="21"/>
                <w:szCs w:val="21"/>
              </w:rPr>
              <w:t>地质环境条件复杂程度</w:t>
            </w:r>
          </w:p>
        </w:tc>
        <w:tc>
          <w:tcPr>
            <w:tcW w:w="6276" w:type="dxa"/>
            <w:tcBorders>
              <w:top w:val="single" w:color="000000" w:sz="6" w:space="0"/>
              <w:left w:val="nil"/>
              <w:bottom w:val="single" w:color="000000" w:sz="6" w:space="0"/>
              <w:right w:val="single" w:color="000000" w:sz="6" w:space="0"/>
            </w:tcBorders>
            <w:shd w:val="clear" w:color="auto" w:fill="auto"/>
          </w:tcPr>
          <w:p>
            <w:pPr>
              <w:pStyle w:val="40"/>
              <w:widowControl/>
              <w:numPr>
                <w:ilvl w:val="0"/>
                <w:numId w:val="9"/>
              </w:numPr>
              <w:spacing w:before="95" w:line="319" w:lineRule="auto"/>
              <w:ind w:right="84"/>
              <w:jc w:val="both"/>
              <w:rPr>
                <w:rFonts w:hint="default"/>
                <w:sz w:val="21"/>
                <w:szCs w:val="21"/>
              </w:rPr>
            </w:pPr>
            <w:r>
              <w:rPr>
                <w:rFonts w:cs="宋体"/>
                <w:sz w:val="21"/>
                <w:szCs w:val="21"/>
              </w:rPr>
              <w:t>矿区水文地质条件简单，最大涌水量＜</w:t>
            </w:r>
            <w:r>
              <w:rPr>
                <w:rFonts w:cs="宋体"/>
                <w:spacing w:val="1"/>
                <w:sz w:val="21"/>
                <w:szCs w:val="21"/>
              </w:rPr>
              <w:t>200</w:t>
            </w:r>
            <w:r>
              <w:rPr>
                <w:rFonts w:cs="宋体"/>
                <w:spacing w:val="-2"/>
                <w:sz w:val="21"/>
                <w:szCs w:val="21"/>
              </w:rPr>
              <w:t>m</w:t>
            </w:r>
            <w:r>
              <w:rPr>
                <w:rFonts w:cs="宋体"/>
                <w:spacing w:val="-1"/>
                <w:position w:val="11"/>
                <w:sz w:val="21"/>
                <w:szCs w:val="21"/>
              </w:rPr>
              <w:t>3</w:t>
            </w:r>
            <w:r>
              <w:rPr>
                <w:rFonts w:cs="宋体"/>
                <w:spacing w:val="1"/>
                <w:sz w:val="21"/>
                <w:szCs w:val="21"/>
              </w:rPr>
              <w:t>/h</w:t>
            </w:r>
            <w:r>
              <w:rPr>
                <w:rFonts w:cs="宋体"/>
                <w:sz w:val="21"/>
                <w:szCs w:val="21"/>
              </w:rPr>
              <w:t>，地下疏干水导致地面塌陷的可能性小，地表水体较少，地表水与地下水联系 不密切；</w:t>
            </w:r>
          </w:p>
          <w:p>
            <w:pPr>
              <w:pStyle w:val="40"/>
              <w:widowControl/>
              <w:numPr>
                <w:ilvl w:val="0"/>
                <w:numId w:val="9"/>
              </w:numPr>
              <w:spacing w:line="319" w:lineRule="auto"/>
              <w:ind w:right="-29"/>
              <w:rPr>
                <w:rFonts w:hint="default"/>
                <w:sz w:val="21"/>
                <w:szCs w:val="21"/>
              </w:rPr>
            </w:pPr>
            <w:r>
              <w:rPr>
                <w:rFonts w:cs="宋体"/>
                <w:spacing w:val="-5"/>
                <w:sz w:val="21"/>
                <w:szCs w:val="21"/>
              </w:rPr>
              <w:t>废</w:t>
            </w:r>
            <w:r>
              <w:rPr>
                <w:rFonts w:cs="宋体"/>
                <w:sz w:val="21"/>
                <w:szCs w:val="21"/>
              </w:rPr>
              <w:t>（矸</w:t>
            </w:r>
            <w:r>
              <w:rPr>
                <w:rFonts w:cs="宋体"/>
                <w:spacing w:val="-3"/>
                <w:sz w:val="21"/>
                <w:szCs w:val="21"/>
              </w:rPr>
              <w:t>）</w:t>
            </w:r>
            <w:r>
              <w:rPr>
                <w:rFonts w:cs="宋体"/>
                <w:spacing w:val="-4"/>
                <w:sz w:val="21"/>
                <w:szCs w:val="21"/>
              </w:rPr>
              <w:t>石、废渣、废水无有毒有害组分少，含量低，废</w:t>
            </w:r>
            <w:r>
              <w:rPr>
                <w:rFonts w:cs="宋体"/>
                <w:sz w:val="21"/>
                <w:szCs w:val="21"/>
              </w:rPr>
              <w:t>（矸） 石、废渣堆稳定，不易污染水、土环境；</w:t>
            </w:r>
          </w:p>
          <w:p>
            <w:pPr>
              <w:pStyle w:val="40"/>
              <w:widowControl/>
              <w:numPr>
                <w:ilvl w:val="0"/>
                <w:numId w:val="9"/>
              </w:numPr>
              <w:spacing w:line="268" w:lineRule="exact"/>
              <w:ind w:hanging="318"/>
              <w:rPr>
                <w:rFonts w:hint="default"/>
                <w:sz w:val="21"/>
                <w:szCs w:val="21"/>
              </w:rPr>
            </w:pPr>
            <w:r>
              <w:rPr>
                <w:rFonts w:cs="宋体"/>
                <w:sz w:val="21"/>
                <w:szCs w:val="21"/>
              </w:rPr>
              <w:t>采空区面积和空间较大；</w:t>
            </w:r>
          </w:p>
          <w:p>
            <w:pPr>
              <w:pStyle w:val="40"/>
              <w:widowControl/>
              <w:numPr>
                <w:ilvl w:val="0"/>
                <w:numId w:val="9"/>
              </w:numPr>
              <w:spacing w:before="90"/>
              <w:ind w:hanging="318"/>
              <w:rPr>
                <w:rFonts w:hint="default"/>
                <w:sz w:val="21"/>
                <w:szCs w:val="21"/>
              </w:rPr>
            </w:pPr>
            <w:r>
              <w:rPr>
                <w:rFonts w:cs="宋体"/>
                <w:sz w:val="21"/>
                <w:szCs w:val="21"/>
              </w:rPr>
              <w:t>现状条件下矿山地质环境问题少，危害小；</w:t>
            </w:r>
          </w:p>
          <w:p>
            <w:pPr>
              <w:pStyle w:val="40"/>
              <w:widowControl/>
              <w:numPr>
                <w:ilvl w:val="0"/>
                <w:numId w:val="9"/>
              </w:numPr>
              <w:spacing w:before="91"/>
              <w:ind w:hanging="318"/>
              <w:rPr>
                <w:rFonts w:hint="default"/>
                <w:sz w:val="21"/>
                <w:szCs w:val="21"/>
              </w:rPr>
            </w:pPr>
            <w:r>
              <w:rPr>
                <w:rFonts w:cs="宋体"/>
                <w:sz w:val="21"/>
                <w:szCs w:val="21"/>
              </w:rPr>
              <w:t>地质构造简单，断裂构造不发育；</w:t>
            </w:r>
          </w:p>
          <w:p>
            <w:pPr>
              <w:pStyle w:val="40"/>
              <w:widowControl/>
              <w:numPr>
                <w:ilvl w:val="0"/>
                <w:numId w:val="9"/>
              </w:numPr>
              <w:spacing w:before="91" w:line="319" w:lineRule="auto"/>
              <w:ind w:right="87"/>
              <w:rPr>
                <w:rFonts w:hint="default"/>
                <w:sz w:val="21"/>
                <w:szCs w:val="21"/>
              </w:rPr>
            </w:pPr>
            <w:r>
              <w:rPr>
                <w:rFonts w:cs="宋体"/>
                <w:sz w:val="21"/>
                <w:szCs w:val="21"/>
              </w:rPr>
              <w:t>工程地质条件一般，可溶岩类不发育，岩石风化破碎带厚度＜ 5m，煤层顶底板条件一般；</w:t>
            </w:r>
          </w:p>
          <w:p>
            <w:pPr>
              <w:pStyle w:val="40"/>
              <w:widowControl/>
              <w:numPr>
                <w:ilvl w:val="0"/>
                <w:numId w:val="9"/>
              </w:numPr>
              <w:spacing w:line="268" w:lineRule="exact"/>
              <w:ind w:hanging="318"/>
              <w:rPr>
                <w:rFonts w:hint="default"/>
                <w:sz w:val="21"/>
                <w:szCs w:val="21"/>
              </w:rPr>
            </w:pPr>
            <w:r>
              <w:rPr>
                <w:rFonts w:cs="宋体"/>
                <w:sz w:val="21"/>
                <w:szCs w:val="21"/>
              </w:rPr>
              <w:t>地形较复杂，地形坡度一般＜20°，地貌单元类型较简单。</w:t>
            </w:r>
          </w:p>
        </w:tc>
        <w:tc>
          <w:tcPr>
            <w:tcW w:w="1141" w:type="dxa"/>
            <w:tcBorders>
              <w:top w:val="single" w:color="000000" w:sz="6" w:space="0"/>
              <w:left w:val="nil"/>
              <w:bottom w:val="single" w:color="000000" w:sz="6" w:space="0"/>
              <w:right w:val="single" w:color="000000" w:sz="12" w:space="0"/>
            </w:tcBorders>
            <w:shd w:val="clear" w:color="auto" w:fill="auto"/>
            <w:vAlign w:val="center"/>
          </w:tcPr>
          <w:p>
            <w:pPr>
              <w:pStyle w:val="40"/>
              <w:widowControl/>
              <w:ind w:left="365"/>
              <w:jc w:val="both"/>
              <w:rPr>
                <w:rFonts w:hint="default"/>
                <w:b/>
                <w:sz w:val="21"/>
                <w:szCs w:val="21"/>
              </w:rPr>
            </w:pPr>
            <w:r>
              <w:rPr>
                <w:rFonts w:cs="宋体"/>
                <w:b/>
                <w:sz w:val="21"/>
                <w:szCs w:val="21"/>
              </w:rPr>
              <w:t>中等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99" w:hRule="atLeast"/>
        </w:trPr>
        <w:tc>
          <w:tcPr>
            <w:tcW w:w="1708" w:type="dxa"/>
            <w:tcBorders>
              <w:top w:val="single" w:color="000000" w:sz="6" w:space="0"/>
              <w:left w:val="single" w:color="000000" w:sz="12" w:space="0"/>
              <w:bottom w:val="single" w:color="000000" w:sz="12" w:space="0"/>
              <w:right w:val="single" w:color="000000" w:sz="6" w:space="0"/>
            </w:tcBorders>
            <w:shd w:val="clear" w:color="auto" w:fill="auto"/>
          </w:tcPr>
          <w:p>
            <w:pPr>
              <w:pStyle w:val="40"/>
              <w:widowControl/>
              <w:spacing w:before="110"/>
              <w:ind w:left="25"/>
              <w:jc w:val="center"/>
              <w:rPr>
                <w:rFonts w:hint="default"/>
                <w:b/>
                <w:sz w:val="21"/>
                <w:szCs w:val="21"/>
              </w:rPr>
            </w:pPr>
            <w:r>
              <w:rPr>
                <w:rFonts w:cs="宋体"/>
                <w:b/>
                <w:sz w:val="21"/>
                <w:szCs w:val="21"/>
              </w:rPr>
              <w:t>评估精度</w:t>
            </w:r>
          </w:p>
        </w:tc>
        <w:tc>
          <w:tcPr>
            <w:tcW w:w="7417" w:type="dxa"/>
            <w:gridSpan w:val="2"/>
            <w:tcBorders>
              <w:top w:val="single" w:color="000000" w:sz="6" w:space="0"/>
              <w:left w:val="nil"/>
              <w:bottom w:val="single" w:color="000000" w:sz="12" w:space="0"/>
              <w:right w:val="single" w:color="000000" w:sz="12" w:space="0"/>
            </w:tcBorders>
            <w:shd w:val="clear" w:color="auto" w:fill="auto"/>
          </w:tcPr>
          <w:p>
            <w:pPr>
              <w:pStyle w:val="40"/>
              <w:widowControl/>
              <w:spacing w:before="110"/>
              <w:ind w:left="3692" w:right="3239"/>
              <w:jc w:val="center"/>
              <w:rPr>
                <w:rFonts w:hint="default"/>
                <w:b/>
                <w:sz w:val="21"/>
                <w:szCs w:val="21"/>
              </w:rPr>
            </w:pPr>
            <w:r>
              <w:rPr>
                <w:rFonts w:cs="宋体"/>
                <w:b/>
                <w:sz w:val="21"/>
                <w:szCs w:val="21"/>
              </w:rPr>
              <w:t>三级</w:t>
            </w:r>
          </w:p>
        </w:tc>
      </w:tr>
    </w:tbl>
    <w:p>
      <w:pPr>
        <w:pStyle w:val="11"/>
        <w:spacing w:before="6"/>
        <w:rPr>
          <w:b/>
          <w:sz w:val="20"/>
          <w:szCs w:val="20"/>
        </w:rPr>
      </w:pPr>
      <w:r>
        <w:rPr>
          <w:rFonts w:hint="eastAsia"/>
          <w:b/>
          <w:sz w:val="20"/>
          <w:szCs w:val="20"/>
          <w:lang w:val="en-US" w:bidi="ar"/>
        </w:rPr>
        <w:t xml:space="preserve"> </w:t>
      </w:r>
    </w:p>
    <w:p>
      <w:pPr>
        <w:pStyle w:val="3"/>
        <w:widowControl/>
        <w:ind w:left="220" w:leftChars="100" w:right="220" w:rightChars="100" w:firstLine="602" w:firstLineChars="200"/>
        <w:jc w:val="center"/>
        <w:rPr>
          <w:rFonts w:ascii="宋体" w:hAnsi="宋体" w:eastAsia="宋体"/>
          <w:b/>
          <w:bCs/>
          <w:sz w:val="30"/>
        </w:rPr>
      </w:pPr>
      <w:bookmarkStart w:id="11" w:name="_Toc22805"/>
      <w:r>
        <w:rPr>
          <w:rFonts w:hint="eastAsia" w:ascii="宋体" w:hAnsi="宋体" w:eastAsia="宋体" w:cs="黑体"/>
          <w:b/>
          <w:bCs/>
          <w:sz w:val="30"/>
        </w:rPr>
        <w:t>第二节 矿山环境影响现状评估</w:t>
      </w:r>
      <w:bookmarkEnd w:id="11"/>
    </w:p>
    <w:p>
      <w:pPr>
        <w:pStyle w:val="5"/>
        <w:widowControl/>
        <w:numPr>
          <w:ilvl w:val="2"/>
          <w:numId w:val="10"/>
        </w:numPr>
        <w:ind w:left="220" w:leftChars="100" w:right="220" w:rightChars="100" w:firstLine="602" w:firstLineChars="200"/>
        <w:rPr>
          <w:rFonts w:hint="default" w:cs="宋体"/>
          <w:sz w:val="30"/>
          <w:szCs w:val="30"/>
        </w:rPr>
      </w:pPr>
      <w:r>
        <w:rPr>
          <w:rFonts w:cs="宋体"/>
          <w:sz w:val="30"/>
          <w:szCs w:val="30"/>
        </w:rPr>
        <w:t>矿山开采已引发的地质灾害危害程度分级</w:t>
      </w:r>
    </w:p>
    <w:p>
      <w:pPr>
        <w:pStyle w:val="11"/>
        <w:spacing w:line="620" w:lineRule="exact"/>
        <w:ind w:firstLine="602" w:firstLineChars="200"/>
        <w:jc w:val="both"/>
        <w:rPr>
          <w:rFonts w:hint="eastAsia"/>
          <w:sz w:val="30"/>
          <w:szCs w:val="30"/>
        </w:rPr>
      </w:pPr>
      <w:r>
        <w:rPr>
          <w:rFonts w:hint="eastAsia"/>
          <w:b/>
          <w:sz w:val="30"/>
          <w:szCs w:val="30"/>
          <w:lang w:val="en-US" w:bidi="ar"/>
        </w:rPr>
        <w:t xml:space="preserve"> </w:t>
      </w:r>
      <w:r>
        <w:rPr>
          <w:rFonts w:hint="eastAsia"/>
          <w:sz w:val="30"/>
          <w:szCs w:val="30"/>
          <w:lang w:val="en-US" w:bidi="ar"/>
        </w:rPr>
        <w:t>滴沥帮煤矿二矿为已投产矿山，现状条件下矿山开采尚未引发地面塌陷、地裂缝和地面沉降等地质灾害，为地质灾害不发育区。</w:t>
      </w:r>
    </w:p>
    <w:p>
      <w:pPr>
        <w:pStyle w:val="5"/>
        <w:widowControl/>
        <w:numPr>
          <w:ilvl w:val="2"/>
          <w:numId w:val="10"/>
        </w:numPr>
        <w:spacing w:line="620" w:lineRule="exact"/>
        <w:ind w:left="0" w:firstLine="602" w:firstLineChars="200"/>
        <w:jc w:val="both"/>
        <w:rPr>
          <w:rFonts w:hint="default"/>
          <w:sz w:val="30"/>
          <w:szCs w:val="30"/>
        </w:rPr>
      </w:pPr>
      <w:r>
        <w:rPr>
          <w:rFonts w:cs="宋体"/>
          <w:sz w:val="30"/>
          <w:szCs w:val="30"/>
        </w:rPr>
        <w:t>矿山环境影响现状评估</w:t>
      </w:r>
    </w:p>
    <w:p>
      <w:pPr>
        <w:pStyle w:val="11"/>
        <w:spacing w:line="620" w:lineRule="exact"/>
        <w:ind w:firstLine="600" w:firstLineChars="200"/>
        <w:jc w:val="both"/>
        <w:rPr>
          <w:sz w:val="30"/>
          <w:szCs w:val="30"/>
          <w:lang w:val="en-US" w:bidi="ar"/>
        </w:rPr>
      </w:pPr>
      <w:r>
        <w:rPr>
          <w:rFonts w:hint="eastAsia"/>
          <w:sz w:val="30"/>
          <w:szCs w:val="30"/>
          <w:lang w:val="en-US" w:bidi="ar"/>
        </w:rPr>
        <w:t>根据评估区现状条件下矿业活动尚未引发地质灾害，矿山环境问题主要是对土地、植被资源、水资源、水环境的影响程度和防治难度，现状评估将矿山环境影响程度划分为较轻和评估区内其余地段两个区（见表 3-2）。</w:t>
      </w:r>
    </w:p>
    <w:p>
      <w:pPr>
        <w:pStyle w:val="11"/>
        <w:spacing w:line="620" w:lineRule="exact"/>
        <w:ind w:firstLine="602" w:firstLineChars="200"/>
        <w:jc w:val="both"/>
        <w:rPr>
          <w:b/>
          <w:sz w:val="30"/>
          <w:szCs w:val="30"/>
        </w:rPr>
      </w:pPr>
      <w:r>
        <w:rPr>
          <w:rFonts w:hint="eastAsia"/>
          <w:b/>
          <w:sz w:val="30"/>
          <w:szCs w:val="30"/>
          <w:lang w:val="en-US" w:bidi="ar"/>
        </w:rPr>
        <w:t>一、矿山环境影响较轻区</w:t>
      </w:r>
    </w:p>
    <w:p>
      <w:pPr>
        <w:pStyle w:val="11"/>
        <w:spacing w:line="620" w:lineRule="exact"/>
        <w:ind w:firstLine="600" w:firstLineChars="200"/>
        <w:jc w:val="both"/>
        <w:rPr>
          <w:sz w:val="30"/>
          <w:szCs w:val="30"/>
        </w:rPr>
      </w:pPr>
      <w:r>
        <w:rPr>
          <w:rFonts w:hint="eastAsia"/>
          <w:sz w:val="30"/>
          <w:szCs w:val="30"/>
          <w:lang w:val="en-US" w:bidi="ar"/>
        </w:rPr>
        <w:t>分布于工业场地、办公区和储煤场，面积为 0.0157km</w:t>
      </w:r>
      <w:r>
        <w:rPr>
          <w:rFonts w:hint="eastAsia"/>
          <w:position w:val="12"/>
          <w:sz w:val="30"/>
          <w:szCs w:val="30"/>
          <w:vertAlign w:val="superscript"/>
          <w:lang w:val="en-US" w:bidi="ar"/>
        </w:rPr>
        <w:t>2</w:t>
      </w:r>
      <w:r>
        <w:rPr>
          <w:rFonts w:hint="eastAsia"/>
          <w:sz w:val="30"/>
          <w:szCs w:val="30"/>
          <w:lang w:val="en-US" w:bidi="ar"/>
        </w:rPr>
        <w:t xml:space="preserve">，占评估区总面积的 </w:t>
      </w:r>
      <w:r>
        <w:rPr>
          <w:sz w:val="30"/>
          <w:szCs w:val="30"/>
          <w:lang w:val="en-US" w:bidi="ar"/>
        </w:rPr>
        <w:t>1.08%</w:t>
      </w:r>
      <w:r>
        <w:rPr>
          <w:rFonts w:hint="eastAsia"/>
          <w:sz w:val="30"/>
          <w:szCs w:val="30"/>
          <w:lang w:val="en-US" w:bidi="ar"/>
        </w:rPr>
        <w:t>。该区现状条件下地质灾害不发育；占用土地总面积为 0.0157km</w:t>
      </w:r>
      <w:r>
        <w:rPr>
          <w:rFonts w:hint="eastAsia"/>
          <w:position w:val="12"/>
          <w:sz w:val="30"/>
          <w:szCs w:val="30"/>
          <w:vertAlign w:val="superscript"/>
          <w:lang w:val="en-US" w:bidi="ar"/>
        </w:rPr>
        <w:t>2</w:t>
      </w:r>
      <w:r>
        <w:rPr>
          <w:rFonts w:hint="eastAsia"/>
          <w:sz w:val="30"/>
          <w:szCs w:val="30"/>
          <w:lang w:val="en-US" w:bidi="ar"/>
        </w:rPr>
        <w:t>，占用的土地类型为天然草地，破坏的植被类型为干旱草原植被。对照《编制规范》附录 E、表 E.1， 该区矿业开发对土地、植被资源的影响程度“较轻”。</w:t>
      </w:r>
    </w:p>
    <w:p>
      <w:pPr>
        <w:pStyle w:val="11"/>
        <w:spacing w:line="620" w:lineRule="exact"/>
        <w:ind w:firstLine="600" w:firstLineChars="200"/>
        <w:jc w:val="both"/>
        <w:rPr>
          <w:sz w:val="30"/>
          <w:szCs w:val="30"/>
        </w:rPr>
      </w:pPr>
      <w:r>
        <w:rPr>
          <w:rFonts w:hint="eastAsia"/>
          <w:sz w:val="30"/>
          <w:szCs w:val="30"/>
          <w:lang w:val="en-US" w:bidi="ar"/>
        </w:rPr>
        <w:t>矿山正常生产时疏干水量较小；矿区生产、生活污水排放量很少，且处理后达标排放，基本无污染。矿业活动不会未造成地表水漏失、泉井干涸等现象，不影响当地居民生产、生活。对照《编制规范》附录 E、表 E.1，该区矿业开发对水资源、水环境影响程度“较轻”。</w:t>
      </w:r>
    </w:p>
    <w:p>
      <w:pPr>
        <w:pStyle w:val="5"/>
        <w:widowControl/>
        <w:spacing w:line="620" w:lineRule="exact"/>
        <w:ind w:left="0" w:firstLine="602" w:firstLineChars="200"/>
        <w:jc w:val="both"/>
        <w:rPr>
          <w:rFonts w:hint="default" w:cs="宋体"/>
          <w:sz w:val="30"/>
          <w:szCs w:val="30"/>
        </w:rPr>
      </w:pPr>
      <w:r>
        <w:rPr>
          <w:rFonts w:cs="宋体"/>
          <w:sz w:val="30"/>
          <w:szCs w:val="30"/>
        </w:rPr>
        <w:t>二、评估区内其余地区</w:t>
      </w:r>
    </w:p>
    <w:p>
      <w:pPr>
        <w:pStyle w:val="11"/>
        <w:spacing w:line="620" w:lineRule="exact"/>
        <w:ind w:firstLine="600" w:firstLineChars="200"/>
        <w:jc w:val="both"/>
        <w:rPr>
          <w:sz w:val="30"/>
          <w:szCs w:val="30"/>
        </w:rPr>
      </w:pPr>
      <w:r>
        <w:rPr>
          <w:rFonts w:hint="eastAsia"/>
          <w:sz w:val="30"/>
          <w:szCs w:val="30"/>
          <w:lang w:val="en-US" w:bidi="ar"/>
        </w:rPr>
        <w:t>评估区其余地区面积 1.4315km</w:t>
      </w:r>
      <w:r>
        <w:rPr>
          <w:rFonts w:hint="eastAsia"/>
          <w:position w:val="12"/>
          <w:sz w:val="30"/>
          <w:szCs w:val="30"/>
          <w:vertAlign w:val="superscript"/>
          <w:lang w:val="en-US" w:bidi="ar"/>
        </w:rPr>
        <w:t>2</w:t>
      </w:r>
      <w:r>
        <w:rPr>
          <w:rFonts w:hint="eastAsia"/>
          <w:sz w:val="30"/>
          <w:szCs w:val="30"/>
          <w:lang w:val="en-US" w:bidi="ar"/>
        </w:rPr>
        <w:t xml:space="preserve">，占评估区总面积的 </w:t>
      </w:r>
      <w:r>
        <w:rPr>
          <w:sz w:val="30"/>
          <w:szCs w:val="30"/>
          <w:lang w:val="en-US" w:bidi="ar"/>
        </w:rPr>
        <w:t>98.92%</w:t>
      </w:r>
      <w:r>
        <w:rPr>
          <w:rFonts w:hint="eastAsia"/>
          <w:sz w:val="30"/>
          <w:szCs w:val="30"/>
          <w:lang w:val="en-US" w:bidi="ar"/>
        </w:rPr>
        <w:t xml:space="preserve">。该区地质灾害不发育，对土地、植被资源、水资源、水环境影响很小。 </w:t>
      </w:r>
    </w:p>
    <w:p>
      <w:pPr>
        <w:pStyle w:val="5"/>
        <w:widowControl/>
        <w:numPr>
          <w:ilvl w:val="2"/>
          <w:numId w:val="10"/>
        </w:numPr>
        <w:spacing w:line="620" w:lineRule="exact"/>
        <w:ind w:left="0" w:firstLine="602" w:firstLineChars="200"/>
        <w:jc w:val="both"/>
        <w:rPr>
          <w:rFonts w:hint="default" w:cs="宋体"/>
          <w:sz w:val="30"/>
          <w:szCs w:val="30"/>
        </w:rPr>
      </w:pPr>
      <w:r>
        <w:rPr>
          <w:rFonts w:cs="宋体"/>
          <w:sz w:val="30"/>
          <w:szCs w:val="30"/>
        </w:rPr>
        <w:t xml:space="preserve">矿山环境保护与治理现状 </w:t>
      </w:r>
    </w:p>
    <w:p>
      <w:pPr>
        <w:pStyle w:val="11"/>
        <w:spacing w:line="620" w:lineRule="exact"/>
        <w:ind w:firstLine="600" w:firstLineChars="200"/>
        <w:jc w:val="both"/>
        <w:rPr>
          <w:sz w:val="30"/>
          <w:szCs w:val="30"/>
        </w:rPr>
      </w:pPr>
      <w:r>
        <w:rPr>
          <w:rFonts w:hint="eastAsia"/>
          <w:sz w:val="30"/>
          <w:szCs w:val="30"/>
          <w:lang w:val="en-US" w:bidi="ar"/>
        </w:rPr>
        <w:t>通过现场调查发现，滴沥帮煤矿二矿矿山环境保护与治理工作尚未起步，未采取有效的防治和治理措施。</w:t>
      </w:r>
    </w:p>
    <w:p>
      <w:pPr>
        <w:pStyle w:val="11"/>
        <w:spacing w:before="4"/>
        <w:ind w:right="220" w:rightChars="100"/>
        <w:jc w:val="center"/>
        <w:outlineLvl w:val="1"/>
        <w:rPr>
          <w:rFonts w:ascii="宋体" w:hAnsi="宋体" w:eastAsia="宋体"/>
          <w:b/>
          <w:bCs/>
          <w:sz w:val="30"/>
        </w:rPr>
      </w:pPr>
      <w:bookmarkStart w:id="12" w:name="_Toc31994"/>
      <w:r>
        <w:rPr>
          <w:rFonts w:hint="eastAsia" w:ascii="宋体" w:hAnsi="宋体" w:eastAsia="宋体" w:cs="黑体"/>
          <w:b/>
          <w:bCs/>
          <w:sz w:val="30"/>
        </w:rPr>
        <w:t xml:space="preserve">第三节 </w:t>
      </w:r>
      <w:r>
        <w:rPr>
          <w:rFonts w:hint="eastAsia" w:cs="黑体"/>
          <w:b/>
          <w:bCs/>
          <w:sz w:val="30"/>
          <w:lang w:val="en-US" w:eastAsia="zh-CN"/>
        </w:rPr>
        <w:t xml:space="preserve"> </w:t>
      </w:r>
      <w:r>
        <w:rPr>
          <w:rFonts w:hint="eastAsia" w:ascii="宋体" w:hAnsi="宋体" w:eastAsia="宋体" w:cs="黑体"/>
          <w:b/>
          <w:bCs/>
          <w:sz w:val="30"/>
        </w:rPr>
        <w:t>矿山环境影响预测评估</w:t>
      </w:r>
      <w:bookmarkEnd w:id="12"/>
    </w:p>
    <w:p>
      <w:pPr>
        <w:pStyle w:val="11"/>
        <w:spacing w:line="362" w:lineRule="auto"/>
        <w:ind w:left="220" w:leftChars="100" w:right="220" w:rightChars="100" w:firstLine="596" w:firstLineChars="200"/>
        <w:rPr>
          <w:sz w:val="30"/>
          <w:szCs w:val="30"/>
        </w:rPr>
      </w:pPr>
      <w:r>
        <w:rPr>
          <w:rFonts w:hint="eastAsia"/>
          <w:spacing w:val="-1"/>
          <w:sz w:val="30"/>
          <w:szCs w:val="30"/>
          <w:lang w:val="en-US" w:bidi="ar"/>
        </w:rPr>
        <w:t xml:space="preserve">根据矿山环境问题及地质灾害类型，对矿山开采可能引发的地面塌陷地质灾害， </w:t>
      </w:r>
      <w:r>
        <w:rPr>
          <w:rFonts w:hint="eastAsia"/>
          <w:spacing w:val="-8"/>
          <w:sz w:val="30"/>
          <w:szCs w:val="30"/>
          <w:lang w:val="en-US" w:bidi="ar"/>
        </w:rPr>
        <w:t>矿业活动对水资源、水环境的影响以及矿业活动对土地、植被资源的影响和破坏等几个方面进行预测评估。</w:t>
      </w:r>
    </w:p>
    <w:p>
      <w:pPr>
        <w:pStyle w:val="11"/>
        <w:spacing w:line="362" w:lineRule="auto"/>
        <w:ind w:left="220" w:leftChars="100" w:right="220" w:rightChars="100" w:firstLine="588" w:firstLineChars="200"/>
        <w:jc w:val="both"/>
        <w:rPr>
          <w:sz w:val="30"/>
          <w:szCs w:val="30"/>
          <w:lang w:val="en-US" w:bidi="ar"/>
        </w:rPr>
      </w:pPr>
      <w:r>
        <w:rPr>
          <w:rFonts w:hint="eastAsia"/>
          <w:spacing w:val="-3"/>
          <w:sz w:val="30"/>
          <w:szCs w:val="30"/>
          <w:lang w:val="en-US" w:bidi="ar"/>
        </w:rPr>
        <w:t xml:space="preserve">本次确定的滴沥帮煤矿矿山环境影响评估面积为 </w:t>
      </w:r>
      <w:r>
        <w:rPr>
          <w:sz w:val="30"/>
          <w:szCs w:val="30"/>
          <w:lang w:val="en-US" w:bidi="ar"/>
        </w:rPr>
        <w:t>1.4472km</w:t>
      </w:r>
      <w:r>
        <w:rPr>
          <w:position w:val="8"/>
          <w:sz w:val="30"/>
          <w:szCs w:val="30"/>
          <w:vertAlign w:val="superscript"/>
          <w:lang w:val="en-US" w:bidi="ar"/>
        </w:rPr>
        <w:t>2</w:t>
      </w:r>
      <w:r>
        <w:rPr>
          <w:rFonts w:hint="eastAsia"/>
          <w:spacing w:val="-2"/>
          <w:sz w:val="30"/>
          <w:szCs w:val="30"/>
          <w:lang w:val="en-US" w:bidi="ar"/>
        </w:rPr>
        <w:t xml:space="preserve">，国土资源厅批准的该矿山开采标高为 </w:t>
      </w:r>
      <w:r>
        <w:rPr>
          <w:rFonts w:hint="eastAsia"/>
          <w:sz w:val="30"/>
          <w:szCs w:val="30"/>
          <w:lang w:val="en-US" w:bidi="ar"/>
        </w:rPr>
        <w:t>1203～942m。因此，本次只对矿山环境影响评估面积与开采标高范围进行预测评估。</w:t>
      </w: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pPr>
    </w:p>
    <w:p>
      <w:pPr>
        <w:pStyle w:val="11"/>
        <w:spacing w:line="362" w:lineRule="auto"/>
        <w:ind w:left="220" w:leftChars="100" w:right="220" w:rightChars="100" w:firstLine="600" w:firstLineChars="200"/>
        <w:jc w:val="both"/>
        <w:rPr>
          <w:sz w:val="30"/>
          <w:szCs w:val="30"/>
          <w:lang w:val="en-US" w:bidi="ar"/>
        </w:rPr>
        <w:sectPr>
          <w:headerReference r:id="rId4" w:type="default"/>
          <w:footerReference r:id="rId5" w:type="default"/>
          <w:pgSz w:w="11910" w:h="16840"/>
          <w:pgMar w:top="1400" w:right="1380" w:bottom="1360" w:left="1500" w:header="851" w:footer="992" w:gutter="0"/>
          <w:cols w:space="425" w:num="1"/>
          <w:docGrid w:type="lines" w:linePitch="312" w:charSpace="0"/>
        </w:sectPr>
      </w:pPr>
    </w:p>
    <w:p>
      <w:pPr>
        <w:pStyle w:val="11"/>
        <w:spacing w:before="7"/>
        <w:rPr>
          <w:sz w:val="9"/>
          <w:szCs w:val="9"/>
        </w:rPr>
      </w:pPr>
    </w:p>
    <w:p>
      <w:pPr>
        <w:spacing w:before="67"/>
        <w:ind w:left="5528"/>
        <w:rPr>
          <w:b/>
          <w:sz w:val="21"/>
          <w:szCs w:val="21"/>
        </w:rPr>
      </w:pPr>
      <w:r>
        <w:rPr>
          <w:rFonts w:hint="eastAsia"/>
          <w:b/>
          <w:sz w:val="24"/>
          <w:szCs w:val="24"/>
          <w:lang w:val="en-US" w:bidi="ar"/>
        </w:rPr>
        <w:t>矿山环境影响现状评估表</w:t>
      </w:r>
      <w:r>
        <w:rPr>
          <w:rFonts w:hint="eastAsia"/>
          <w:b/>
          <w:sz w:val="24"/>
          <w:szCs w:val="24"/>
          <w:lang w:val="en-US" w:bidi="ar"/>
        </w:rPr>
        <w:tab/>
      </w:r>
      <w:r>
        <w:rPr>
          <w:rFonts w:hint="eastAsia"/>
          <w:b/>
          <w:sz w:val="21"/>
          <w:szCs w:val="21"/>
          <w:lang w:val="en-US" w:bidi="ar"/>
        </w:rPr>
        <w:t>表</w:t>
      </w:r>
      <w:r>
        <w:rPr>
          <w:rFonts w:hint="eastAsia"/>
          <w:b/>
          <w:spacing w:val="-52"/>
          <w:sz w:val="21"/>
          <w:szCs w:val="21"/>
          <w:lang w:val="en-US" w:bidi="ar"/>
        </w:rPr>
        <w:t xml:space="preserve"> </w:t>
      </w:r>
      <w:r>
        <w:rPr>
          <w:rFonts w:hint="eastAsia"/>
          <w:b/>
          <w:sz w:val="21"/>
          <w:szCs w:val="21"/>
          <w:lang w:val="en-US" w:bidi="ar"/>
        </w:rPr>
        <w:t>3-2</w:t>
      </w:r>
    </w:p>
    <w:tbl>
      <w:tblPr>
        <w:tblStyle w:val="12"/>
        <w:tblpPr w:leftFromText="180" w:rightFromText="180" w:vertAnchor="text" w:horzAnchor="margin" w:tblpXSpec="center" w:tblpY="200"/>
        <w:tblW w:w="137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4"/>
        <w:gridCol w:w="918"/>
        <w:gridCol w:w="1085"/>
        <w:gridCol w:w="1082"/>
        <w:gridCol w:w="2539"/>
        <w:gridCol w:w="2539"/>
        <w:gridCol w:w="2539"/>
        <w:gridCol w:w="879"/>
        <w:gridCol w:w="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8" w:hRule="atLeast"/>
        </w:trPr>
        <w:tc>
          <w:tcPr>
            <w:tcW w:w="1354"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spacing w:before="152"/>
              <w:ind w:left="254"/>
              <w:rPr>
                <w:rFonts w:hint="default"/>
                <w:sz w:val="21"/>
                <w:szCs w:val="21"/>
              </w:rPr>
            </w:pPr>
            <w:r>
              <w:rPr>
                <w:rFonts w:cs="宋体"/>
                <w:sz w:val="21"/>
                <w:szCs w:val="21"/>
              </w:rPr>
              <w:t>分布范围</w:t>
            </w:r>
          </w:p>
        </w:tc>
        <w:tc>
          <w:tcPr>
            <w:tcW w:w="918" w:type="dxa"/>
            <w:tcBorders>
              <w:top w:val="single" w:color="000000" w:sz="4" w:space="0"/>
              <w:left w:val="nil"/>
              <w:bottom w:val="single" w:color="000000" w:sz="4" w:space="0"/>
              <w:right w:val="single" w:color="000000" w:sz="4" w:space="0"/>
            </w:tcBorders>
            <w:shd w:val="clear" w:color="auto" w:fill="auto"/>
          </w:tcPr>
          <w:p>
            <w:pPr>
              <w:pStyle w:val="40"/>
              <w:widowControl/>
              <w:spacing w:before="13"/>
              <w:ind w:left="300"/>
              <w:rPr>
                <w:rFonts w:hint="default"/>
                <w:sz w:val="21"/>
                <w:szCs w:val="21"/>
              </w:rPr>
            </w:pPr>
            <w:r>
              <w:rPr>
                <w:rFonts w:cs="宋体"/>
                <w:sz w:val="21"/>
                <w:szCs w:val="21"/>
              </w:rPr>
              <w:t>面积</w:t>
            </w:r>
          </w:p>
          <w:p>
            <w:pPr>
              <w:pStyle w:val="40"/>
              <w:widowControl/>
              <w:spacing w:before="12" w:line="246" w:lineRule="exact"/>
              <w:ind w:left="211"/>
              <w:rPr>
                <w:rFonts w:hint="default"/>
                <w:sz w:val="21"/>
                <w:szCs w:val="21"/>
              </w:rPr>
            </w:pPr>
            <w:r>
              <w:rPr>
                <w:rFonts w:cs="宋体"/>
                <w:spacing w:val="2"/>
                <w:sz w:val="21"/>
                <w:szCs w:val="21"/>
              </w:rPr>
              <w:t>（</w:t>
            </w:r>
            <w:r>
              <w:rPr>
                <w:rFonts w:cs="宋体"/>
                <w:spacing w:val="1"/>
                <w:sz w:val="21"/>
                <w:szCs w:val="21"/>
              </w:rPr>
              <w:t>k</w:t>
            </w:r>
            <w:r>
              <w:rPr>
                <w:rFonts w:cs="宋体"/>
                <w:spacing w:val="-2"/>
                <w:sz w:val="21"/>
                <w:szCs w:val="21"/>
              </w:rPr>
              <w:t>m</w:t>
            </w:r>
            <w:r>
              <w:rPr>
                <w:rFonts w:cs="宋体"/>
                <w:spacing w:val="-1"/>
                <w:position w:val="11"/>
                <w:sz w:val="10"/>
                <w:szCs w:val="10"/>
              </w:rPr>
              <w:t>2</w:t>
            </w:r>
            <w:r>
              <w:rPr>
                <w:rFonts w:cs="宋体"/>
                <w:sz w:val="21"/>
                <w:szCs w:val="21"/>
              </w:rPr>
              <w:t>）</w:t>
            </w:r>
          </w:p>
        </w:tc>
        <w:tc>
          <w:tcPr>
            <w:tcW w:w="1085" w:type="dxa"/>
            <w:tcBorders>
              <w:top w:val="single" w:color="000000" w:sz="4" w:space="0"/>
              <w:left w:val="nil"/>
              <w:bottom w:val="single" w:color="000000" w:sz="4" w:space="0"/>
              <w:right w:val="single" w:color="000000" w:sz="4" w:space="0"/>
            </w:tcBorders>
            <w:shd w:val="clear" w:color="auto" w:fill="auto"/>
          </w:tcPr>
          <w:p>
            <w:pPr>
              <w:pStyle w:val="40"/>
              <w:widowControl/>
              <w:spacing w:before="2" w:line="280" w:lineRule="atLeast"/>
              <w:ind w:left="120" w:right="111"/>
              <w:rPr>
                <w:rFonts w:hint="default"/>
                <w:sz w:val="21"/>
                <w:szCs w:val="21"/>
              </w:rPr>
            </w:pPr>
            <w:r>
              <w:rPr>
                <w:rFonts w:cs="宋体"/>
                <w:sz w:val="21"/>
                <w:szCs w:val="21"/>
              </w:rPr>
              <w:t>地质灾害影响对象</w:t>
            </w:r>
          </w:p>
        </w:tc>
        <w:tc>
          <w:tcPr>
            <w:tcW w:w="1082" w:type="dxa"/>
            <w:tcBorders>
              <w:top w:val="single" w:color="000000" w:sz="4" w:space="0"/>
              <w:left w:val="nil"/>
              <w:bottom w:val="single" w:color="000000" w:sz="4" w:space="0"/>
              <w:right w:val="single" w:color="000000" w:sz="4" w:space="0"/>
            </w:tcBorders>
            <w:shd w:val="clear" w:color="auto" w:fill="auto"/>
          </w:tcPr>
          <w:p>
            <w:pPr>
              <w:pStyle w:val="40"/>
              <w:widowControl/>
              <w:spacing w:before="2" w:line="280" w:lineRule="atLeast"/>
              <w:ind w:left="118" w:right="110"/>
              <w:rPr>
                <w:rFonts w:hint="default"/>
                <w:sz w:val="21"/>
                <w:szCs w:val="21"/>
              </w:rPr>
            </w:pPr>
            <w:r>
              <w:rPr>
                <w:rFonts w:cs="宋体"/>
                <w:sz w:val="21"/>
                <w:szCs w:val="21"/>
              </w:rPr>
              <w:t>地质灾害危害程度</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spacing w:before="2" w:line="280" w:lineRule="atLeast"/>
              <w:ind w:left="529" w:right="522"/>
              <w:rPr>
                <w:rFonts w:hint="default"/>
                <w:sz w:val="21"/>
                <w:szCs w:val="21"/>
              </w:rPr>
            </w:pPr>
            <w:r>
              <w:rPr>
                <w:rFonts w:cs="宋体"/>
                <w:sz w:val="21"/>
                <w:szCs w:val="21"/>
              </w:rPr>
              <w:t>影响的土地资源类型及影响程度</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spacing w:before="152"/>
              <w:ind w:left="531"/>
              <w:rPr>
                <w:rFonts w:hint="default"/>
                <w:sz w:val="21"/>
                <w:szCs w:val="21"/>
              </w:rPr>
            </w:pPr>
            <w:r>
              <w:rPr>
                <w:rFonts w:cs="宋体"/>
                <w:sz w:val="21"/>
                <w:szCs w:val="21"/>
              </w:rPr>
              <w:t>对水资源的影响</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spacing w:before="152"/>
              <w:ind w:left="87" w:right="81"/>
              <w:jc w:val="center"/>
              <w:rPr>
                <w:rFonts w:hint="default"/>
                <w:sz w:val="21"/>
                <w:szCs w:val="21"/>
              </w:rPr>
            </w:pPr>
            <w:r>
              <w:rPr>
                <w:rFonts w:cs="宋体"/>
                <w:sz w:val="21"/>
                <w:szCs w:val="21"/>
              </w:rPr>
              <w:t>对水环境的影响</w:t>
            </w:r>
          </w:p>
        </w:tc>
        <w:tc>
          <w:tcPr>
            <w:tcW w:w="879" w:type="dxa"/>
            <w:tcBorders>
              <w:top w:val="single" w:color="000000" w:sz="4" w:space="0"/>
              <w:left w:val="nil"/>
              <w:bottom w:val="single" w:color="000000" w:sz="4" w:space="0"/>
              <w:right w:val="single" w:color="000000" w:sz="4" w:space="0"/>
            </w:tcBorders>
            <w:shd w:val="clear" w:color="auto" w:fill="auto"/>
          </w:tcPr>
          <w:p>
            <w:pPr>
              <w:pStyle w:val="40"/>
              <w:widowControl/>
              <w:spacing w:before="2" w:line="280" w:lineRule="atLeast"/>
              <w:ind w:left="229" w:right="218"/>
              <w:rPr>
                <w:rFonts w:hint="default"/>
                <w:sz w:val="21"/>
                <w:szCs w:val="21"/>
              </w:rPr>
            </w:pPr>
            <w:r>
              <w:rPr>
                <w:rFonts w:cs="宋体"/>
                <w:sz w:val="21"/>
                <w:szCs w:val="21"/>
              </w:rPr>
              <w:t>防治难度</w:t>
            </w:r>
          </w:p>
        </w:tc>
        <w:tc>
          <w:tcPr>
            <w:tcW w:w="860" w:type="dxa"/>
            <w:tcBorders>
              <w:top w:val="single" w:color="000000" w:sz="4" w:space="0"/>
              <w:left w:val="nil"/>
              <w:bottom w:val="single" w:color="000000" w:sz="4" w:space="0"/>
              <w:right w:val="single" w:color="000000" w:sz="4" w:space="0"/>
            </w:tcBorders>
            <w:shd w:val="clear" w:color="auto" w:fill="auto"/>
          </w:tcPr>
          <w:p>
            <w:pPr>
              <w:pStyle w:val="40"/>
              <w:widowControl/>
              <w:spacing w:before="2" w:line="280" w:lineRule="atLeast"/>
              <w:ind w:left="217" w:right="211"/>
              <w:rPr>
                <w:rFonts w:hint="default"/>
                <w:sz w:val="21"/>
                <w:szCs w:val="21"/>
              </w:rPr>
            </w:pPr>
            <w:r>
              <w:rPr>
                <w:rFonts w:cs="宋体"/>
                <w:sz w:val="21"/>
                <w:szCs w:val="21"/>
              </w:rPr>
              <w:t>现状评估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6" w:hRule="atLeast"/>
        </w:trPr>
        <w:tc>
          <w:tcPr>
            <w:tcW w:w="1354"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spacing w:before="9"/>
              <w:rPr>
                <w:rFonts w:hint="default"/>
                <w:b/>
                <w:sz w:val="15"/>
                <w:szCs w:val="15"/>
              </w:rPr>
            </w:pPr>
          </w:p>
          <w:p>
            <w:pPr>
              <w:pStyle w:val="40"/>
              <w:widowControl/>
              <w:spacing w:before="1" w:line="283" w:lineRule="auto"/>
              <w:ind w:left="149" w:right="140" w:hanging="1"/>
              <w:jc w:val="center"/>
              <w:rPr>
                <w:rFonts w:hint="default"/>
                <w:sz w:val="21"/>
                <w:szCs w:val="21"/>
              </w:rPr>
            </w:pPr>
            <w:r>
              <w:rPr>
                <w:rFonts w:cs="宋体"/>
                <w:sz w:val="21"/>
                <w:szCs w:val="21"/>
              </w:rPr>
              <w:t xml:space="preserve">工业场地 </w:t>
            </w:r>
            <w:r>
              <w:rPr>
                <w:rFonts w:cs="宋体"/>
                <w:spacing w:val="-3"/>
                <w:sz w:val="21"/>
                <w:szCs w:val="21"/>
              </w:rPr>
              <w:t>办公区和储</w:t>
            </w:r>
            <w:r>
              <w:rPr>
                <w:rFonts w:cs="宋体"/>
                <w:sz w:val="21"/>
                <w:szCs w:val="21"/>
              </w:rPr>
              <w:t>煤场</w:t>
            </w:r>
          </w:p>
        </w:tc>
        <w:tc>
          <w:tcPr>
            <w:tcW w:w="918"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11"/>
              <w:rPr>
                <w:rFonts w:hint="default"/>
                <w:b/>
                <w:sz w:val="20"/>
                <w:szCs w:val="20"/>
              </w:rPr>
            </w:pPr>
          </w:p>
          <w:p>
            <w:pPr>
              <w:pStyle w:val="40"/>
              <w:widowControl/>
              <w:ind w:left="90" w:right="83"/>
              <w:jc w:val="center"/>
              <w:rPr>
                <w:rFonts w:hint="default"/>
                <w:sz w:val="21"/>
                <w:szCs w:val="21"/>
              </w:rPr>
            </w:pPr>
            <w:r>
              <w:rPr>
                <w:rFonts w:cs="宋体"/>
                <w:sz w:val="21"/>
                <w:szCs w:val="21"/>
              </w:rPr>
              <w:t>0.0157</w:t>
            </w:r>
          </w:p>
        </w:tc>
        <w:tc>
          <w:tcPr>
            <w:tcW w:w="2167" w:type="dxa"/>
            <w:gridSpan w:val="2"/>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11"/>
              <w:rPr>
                <w:rFonts w:hint="default"/>
                <w:b/>
                <w:sz w:val="20"/>
                <w:szCs w:val="20"/>
              </w:rPr>
            </w:pPr>
          </w:p>
          <w:p>
            <w:pPr>
              <w:pStyle w:val="40"/>
              <w:widowControl/>
              <w:ind w:left="343"/>
              <w:rPr>
                <w:rFonts w:hint="default"/>
                <w:sz w:val="21"/>
                <w:szCs w:val="21"/>
              </w:rPr>
            </w:pPr>
            <w:r>
              <w:rPr>
                <w:rFonts w:cs="宋体"/>
                <w:sz w:val="21"/>
                <w:szCs w:val="21"/>
              </w:rPr>
              <w:t>地质灾害不发育</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spacing w:before="9"/>
              <w:rPr>
                <w:rFonts w:hint="default"/>
                <w:b/>
                <w:sz w:val="15"/>
                <w:szCs w:val="15"/>
              </w:rPr>
            </w:pPr>
          </w:p>
          <w:p>
            <w:pPr>
              <w:pStyle w:val="40"/>
              <w:widowControl/>
              <w:spacing w:before="1" w:line="283" w:lineRule="auto"/>
              <w:ind w:left="107" w:right="97"/>
              <w:jc w:val="both"/>
              <w:rPr>
                <w:rFonts w:hint="default"/>
                <w:sz w:val="21"/>
                <w:szCs w:val="21"/>
              </w:rPr>
            </w:pPr>
            <w:r>
              <w:rPr>
                <w:rFonts w:cs="宋体"/>
                <w:sz w:val="21"/>
                <w:szCs w:val="21"/>
              </w:rPr>
              <w:t>占用的土地类型为天然草地；对土地资源影响程度较轻。</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spacing w:before="43" w:line="283" w:lineRule="auto"/>
              <w:ind w:left="106" w:right="95"/>
              <w:jc w:val="both"/>
              <w:rPr>
                <w:rFonts w:hint="default"/>
                <w:sz w:val="21"/>
                <w:szCs w:val="21"/>
              </w:rPr>
            </w:pPr>
            <w:r>
              <w:rPr>
                <w:rFonts w:cs="宋体"/>
                <w:sz w:val="21"/>
                <w:szCs w:val="21"/>
              </w:rPr>
              <w:t>矿山开采过程中疏干水量较小，矿业活动未造成地表水漏失、泉井干涸等现</w:t>
            </w:r>
          </w:p>
          <w:p>
            <w:pPr>
              <w:pStyle w:val="40"/>
              <w:widowControl/>
              <w:spacing w:line="254" w:lineRule="exact"/>
              <w:ind w:left="106" w:right="-15"/>
              <w:rPr>
                <w:rFonts w:hint="default"/>
                <w:sz w:val="21"/>
                <w:szCs w:val="21"/>
              </w:rPr>
            </w:pPr>
            <w:r>
              <w:rPr>
                <w:rFonts w:cs="宋体"/>
                <w:spacing w:val="-11"/>
                <w:sz w:val="21"/>
                <w:szCs w:val="21"/>
              </w:rPr>
              <w:t>象，对水资源的影响较轻。</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spacing w:before="9"/>
              <w:rPr>
                <w:rFonts w:hint="default"/>
                <w:b/>
                <w:sz w:val="15"/>
                <w:szCs w:val="15"/>
              </w:rPr>
            </w:pPr>
          </w:p>
          <w:p>
            <w:pPr>
              <w:pStyle w:val="40"/>
              <w:widowControl/>
              <w:spacing w:before="1" w:line="283" w:lineRule="auto"/>
              <w:ind w:left="107" w:right="96"/>
              <w:jc w:val="both"/>
              <w:rPr>
                <w:rFonts w:hint="default"/>
                <w:sz w:val="21"/>
                <w:szCs w:val="21"/>
              </w:rPr>
            </w:pPr>
            <w:r>
              <w:rPr>
                <w:rFonts w:cs="宋体"/>
                <w:sz w:val="21"/>
                <w:szCs w:val="21"/>
              </w:rPr>
              <w:t>矿山生产、生活污水排放量较小，基本无污染，对水环境影响程度较轻。</w:t>
            </w:r>
          </w:p>
        </w:tc>
        <w:tc>
          <w:tcPr>
            <w:tcW w:w="879"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11"/>
              <w:rPr>
                <w:rFonts w:hint="default"/>
                <w:b/>
                <w:sz w:val="20"/>
                <w:szCs w:val="20"/>
              </w:rPr>
            </w:pPr>
          </w:p>
          <w:p>
            <w:pPr>
              <w:pStyle w:val="40"/>
              <w:widowControl/>
              <w:ind w:left="106"/>
              <w:rPr>
                <w:rFonts w:hint="default"/>
                <w:sz w:val="21"/>
                <w:szCs w:val="21"/>
              </w:rPr>
            </w:pPr>
            <w:r>
              <w:rPr>
                <w:rFonts w:cs="宋体"/>
                <w:sz w:val="21"/>
                <w:szCs w:val="21"/>
              </w:rPr>
              <w:t>难度小</w:t>
            </w:r>
          </w:p>
        </w:tc>
        <w:tc>
          <w:tcPr>
            <w:tcW w:w="860"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11"/>
              <w:rPr>
                <w:rFonts w:hint="default"/>
                <w:b/>
                <w:sz w:val="20"/>
                <w:szCs w:val="20"/>
              </w:rPr>
            </w:pPr>
          </w:p>
          <w:p>
            <w:pPr>
              <w:pStyle w:val="40"/>
              <w:widowControl/>
              <w:ind w:left="114"/>
              <w:rPr>
                <w:rFonts w:hint="default"/>
                <w:sz w:val="21"/>
                <w:szCs w:val="21"/>
              </w:rPr>
            </w:pPr>
            <w:r>
              <w:rPr>
                <w:rFonts w:cs="宋体"/>
                <w:sz w:val="21"/>
                <w:szCs w:val="21"/>
              </w:rPr>
              <w:t>较轻区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29" w:hRule="atLeast"/>
        </w:trPr>
        <w:tc>
          <w:tcPr>
            <w:tcW w:w="1354"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spacing w:before="123" w:line="283" w:lineRule="auto"/>
              <w:ind w:left="254" w:right="246" w:firstLine="105"/>
              <w:rPr>
                <w:rFonts w:hint="default"/>
                <w:sz w:val="21"/>
                <w:szCs w:val="21"/>
              </w:rPr>
            </w:pPr>
            <w:r>
              <w:rPr>
                <w:rFonts w:cs="宋体"/>
                <w:sz w:val="21"/>
                <w:szCs w:val="21"/>
              </w:rPr>
              <w:t>评估区其余地段</w:t>
            </w:r>
          </w:p>
        </w:tc>
        <w:tc>
          <w:tcPr>
            <w:tcW w:w="918"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rPr>
            </w:pPr>
          </w:p>
          <w:p>
            <w:pPr>
              <w:pStyle w:val="40"/>
              <w:widowControl/>
              <w:ind w:left="58" w:right="115"/>
              <w:jc w:val="center"/>
              <w:rPr>
                <w:rFonts w:hint="default"/>
                <w:sz w:val="21"/>
                <w:szCs w:val="21"/>
              </w:rPr>
            </w:pPr>
            <w:r>
              <w:rPr>
                <w:rFonts w:cs="宋体"/>
                <w:sz w:val="21"/>
                <w:szCs w:val="21"/>
              </w:rPr>
              <w:t>1.4315</w:t>
            </w:r>
          </w:p>
        </w:tc>
        <w:tc>
          <w:tcPr>
            <w:tcW w:w="2167" w:type="dxa"/>
            <w:gridSpan w:val="2"/>
            <w:tcBorders>
              <w:top w:val="single" w:color="000000" w:sz="4" w:space="0"/>
              <w:left w:val="nil"/>
              <w:bottom w:val="single" w:color="000000" w:sz="4" w:space="0"/>
              <w:right w:val="single" w:color="000000" w:sz="4" w:space="0"/>
            </w:tcBorders>
            <w:shd w:val="clear" w:color="auto" w:fill="auto"/>
          </w:tcPr>
          <w:p>
            <w:pPr>
              <w:pStyle w:val="40"/>
              <w:widowControl/>
              <w:rPr>
                <w:rFonts w:hint="default"/>
                <w:b/>
              </w:rPr>
            </w:pPr>
          </w:p>
          <w:p>
            <w:pPr>
              <w:pStyle w:val="40"/>
              <w:widowControl/>
              <w:ind w:left="343"/>
              <w:rPr>
                <w:rFonts w:hint="default"/>
                <w:sz w:val="21"/>
                <w:szCs w:val="21"/>
              </w:rPr>
            </w:pPr>
            <w:r>
              <w:rPr>
                <w:rFonts w:cs="宋体"/>
                <w:sz w:val="21"/>
                <w:szCs w:val="21"/>
              </w:rPr>
              <w:t>地质灾害不发育</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rPr>
            </w:pPr>
          </w:p>
          <w:p>
            <w:pPr>
              <w:pStyle w:val="40"/>
              <w:widowControl/>
              <w:ind w:left="107"/>
              <w:rPr>
                <w:rFonts w:hint="default"/>
                <w:sz w:val="21"/>
                <w:szCs w:val="21"/>
              </w:rPr>
            </w:pPr>
            <w:r>
              <w:rPr>
                <w:rFonts w:cs="宋体"/>
                <w:sz w:val="21"/>
                <w:szCs w:val="21"/>
              </w:rPr>
              <w:t>对土地资源影响较轻微。</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rPr>
            </w:pPr>
          </w:p>
          <w:p>
            <w:pPr>
              <w:pStyle w:val="40"/>
              <w:widowControl/>
              <w:ind w:left="212"/>
              <w:rPr>
                <w:rFonts w:hint="default"/>
                <w:sz w:val="21"/>
                <w:szCs w:val="21"/>
              </w:rPr>
            </w:pPr>
            <w:r>
              <w:rPr>
                <w:rFonts w:cs="宋体"/>
                <w:sz w:val="21"/>
                <w:szCs w:val="21"/>
              </w:rPr>
              <w:t>对水资源的影响较轻微。</w:t>
            </w:r>
          </w:p>
        </w:tc>
        <w:tc>
          <w:tcPr>
            <w:tcW w:w="2539"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rPr>
            </w:pPr>
          </w:p>
          <w:p>
            <w:pPr>
              <w:pStyle w:val="40"/>
              <w:widowControl/>
              <w:ind w:left="87" w:right="86"/>
              <w:jc w:val="center"/>
              <w:rPr>
                <w:rFonts w:hint="default"/>
                <w:sz w:val="21"/>
                <w:szCs w:val="21"/>
              </w:rPr>
            </w:pPr>
            <w:r>
              <w:rPr>
                <w:rFonts w:cs="宋体"/>
                <w:sz w:val="21"/>
                <w:szCs w:val="21"/>
              </w:rPr>
              <w:t>对水环境的影响较轻微。</w:t>
            </w:r>
          </w:p>
        </w:tc>
        <w:tc>
          <w:tcPr>
            <w:tcW w:w="879" w:type="dxa"/>
            <w:tcBorders>
              <w:top w:val="single" w:color="000000" w:sz="4" w:space="0"/>
              <w:left w:val="nil"/>
              <w:bottom w:val="single" w:color="000000" w:sz="4" w:space="0"/>
              <w:right w:val="single" w:color="000000" w:sz="4" w:space="0"/>
            </w:tcBorders>
            <w:shd w:val="clear" w:color="auto" w:fill="auto"/>
          </w:tcPr>
          <w:p>
            <w:pPr>
              <w:pStyle w:val="40"/>
              <w:widowControl/>
              <w:spacing w:before="123" w:line="283" w:lineRule="auto"/>
              <w:ind w:left="212" w:right="218" w:firstLine="16"/>
              <w:rPr>
                <w:rFonts w:hint="default"/>
                <w:sz w:val="21"/>
                <w:szCs w:val="21"/>
              </w:rPr>
            </w:pPr>
            <w:r>
              <w:rPr>
                <w:rFonts w:cs="宋体"/>
                <w:sz w:val="21"/>
                <w:szCs w:val="21"/>
              </w:rPr>
              <w:t>无需防治</w:t>
            </w:r>
          </w:p>
        </w:tc>
        <w:tc>
          <w:tcPr>
            <w:tcW w:w="860" w:type="dxa"/>
            <w:tcBorders>
              <w:top w:val="single" w:color="000000" w:sz="4" w:space="0"/>
              <w:left w:val="nil"/>
              <w:bottom w:val="single" w:color="000000" w:sz="4" w:space="0"/>
              <w:right w:val="single" w:color="000000" w:sz="4" w:space="0"/>
            </w:tcBorders>
            <w:shd w:val="clear" w:color="auto" w:fill="auto"/>
          </w:tcPr>
          <w:p>
            <w:pPr>
              <w:pStyle w:val="40"/>
              <w:widowControl/>
              <w:spacing w:before="123" w:line="283" w:lineRule="auto"/>
              <w:ind w:left="217" w:right="211"/>
              <w:rPr>
                <w:rFonts w:hint="default"/>
                <w:sz w:val="21"/>
                <w:szCs w:val="21"/>
              </w:rPr>
            </w:pPr>
            <w:r>
              <w:rPr>
                <w:rFonts w:cs="宋体"/>
                <w:sz w:val="21"/>
                <w:szCs w:val="21"/>
              </w:rPr>
              <w:t>不治理区</w:t>
            </w:r>
          </w:p>
        </w:tc>
      </w:tr>
    </w:tbl>
    <w:p>
      <w:pPr>
        <w:pStyle w:val="11"/>
        <w:spacing w:before="4"/>
        <w:rPr>
          <w:b/>
          <w:sz w:val="12"/>
          <w:szCs w:val="12"/>
        </w:rPr>
      </w:pPr>
      <w:r>
        <w:rPr>
          <w:rFonts w:hint="eastAsia"/>
          <w:b/>
          <w:sz w:val="12"/>
          <w:szCs w:val="12"/>
          <w:lang w:val="en-US" w:bidi="ar"/>
        </w:rPr>
        <w:t xml:space="preserve"> </w:t>
      </w:r>
    </w:p>
    <w:p>
      <w:pPr>
        <w:rPr>
          <w:b/>
          <w:sz w:val="9"/>
          <w:szCs w:val="9"/>
        </w:rPr>
        <w:sectPr>
          <w:pgSz w:w="16840" w:h="11910" w:orient="landscape"/>
          <w:pgMar w:top="1378" w:right="1361" w:bottom="1503" w:left="1400" w:header="851" w:footer="992" w:gutter="0"/>
          <w:cols w:space="425" w:num="1"/>
          <w:docGrid w:type="linesAndChars" w:linePitch="312" w:charSpace="0"/>
        </w:sectPr>
      </w:pPr>
    </w:p>
    <w:p>
      <w:pPr>
        <w:pStyle w:val="11"/>
        <w:spacing w:before="7"/>
        <w:rPr>
          <w:b/>
          <w:sz w:val="9"/>
          <w:szCs w:val="9"/>
        </w:rPr>
      </w:pPr>
      <w:r>
        <w:rPr>
          <w:rFonts w:hint="eastAsia"/>
          <w:b/>
          <w:sz w:val="9"/>
          <w:szCs w:val="9"/>
          <w:lang w:val="en-US" w:bidi="ar"/>
        </w:rPr>
        <w:t xml:space="preserve"> </w:t>
      </w:r>
    </w:p>
    <w:tbl>
      <w:tblPr>
        <w:tblStyle w:val="12"/>
        <w:tblpPr w:leftFromText="180" w:rightFromText="180" w:vertAnchor="text" w:horzAnchor="margin" w:tblpY="1115"/>
        <w:tblW w:w="138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3"/>
        <w:gridCol w:w="1265"/>
        <w:gridCol w:w="1130"/>
        <w:gridCol w:w="927"/>
        <w:gridCol w:w="2483"/>
        <w:gridCol w:w="2710"/>
        <w:gridCol w:w="2339"/>
        <w:gridCol w:w="720"/>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7" w:hRule="atLeast"/>
        </w:trPr>
        <w:tc>
          <w:tcPr>
            <w:tcW w:w="1313"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rPr>
                <w:rFonts w:hint="default"/>
                <w:b/>
                <w:sz w:val="25"/>
                <w:szCs w:val="25"/>
              </w:rPr>
            </w:pPr>
          </w:p>
          <w:p>
            <w:pPr>
              <w:pStyle w:val="40"/>
              <w:widowControl/>
              <w:ind w:left="214" w:right="208"/>
              <w:jc w:val="center"/>
              <w:rPr>
                <w:rFonts w:hint="default"/>
                <w:sz w:val="21"/>
                <w:szCs w:val="21"/>
              </w:rPr>
            </w:pPr>
            <w:r>
              <w:rPr>
                <w:rFonts w:cs="宋体"/>
                <w:sz w:val="21"/>
                <w:szCs w:val="21"/>
              </w:rPr>
              <w:t>分布范围</w:t>
            </w:r>
          </w:p>
        </w:tc>
        <w:tc>
          <w:tcPr>
            <w:tcW w:w="126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5"/>
                <w:szCs w:val="25"/>
              </w:rPr>
            </w:pPr>
          </w:p>
          <w:p>
            <w:pPr>
              <w:pStyle w:val="40"/>
              <w:widowControl/>
              <w:ind w:left="211" w:right="-15"/>
              <w:rPr>
                <w:rFonts w:hint="default"/>
                <w:sz w:val="21"/>
                <w:szCs w:val="21"/>
              </w:rPr>
            </w:pPr>
            <w:r>
              <w:rPr>
                <w:rFonts w:cs="宋体"/>
                <w:spacing w:val="-26"/>
                <w:sz w:val="21"/>
                <w:szCs w:val="21"/>
              </w:rPr>
              <w:t>面积</w:t>
            </w:r>
            <w:r>
              <w:rPr>
                <w:rFonts w:cs="宋体"/>
                <w:spacing w:val="-1"/>
                <w:sz w:val="21"/>
                <w:szCs w:val="21"/>
              </w:rPr>
              <w:t>（</w:t>
            </w:r>
            <w:r>
              <w:rPr>
                <w:rFonts w:cs="宋体"/>
                <w:spacing w:val="1"/>
                <w:sz w:val="21"/>
                <w:szCs w:val="21"/>
              </w:rPr>
              <w:t>km</w:t>
            </w:r>
            <w:r>
              <w:rPr>
                <w:rFonts w:cs="宋体"/>
                <w:spacing w:val="-1"/>
                <w:position w:val="10"/>
                <w:sz w:val="10"/>
                <w:szCs w:val="10"/>
              </w:rPr>
              <w:t>2</w:t>
            </w:r>
            <w:r>
              <w:rPr>
                <w:rFonts w:cs="宋体"/>
                <w:sz w:val="21"/>
                <w:szCs w:val="21"/>
              </w:rPr>
              <w:t>）</w:t>
            </w:r>
          </w:p>
        </w:tc>
        <w:tc>
          <w:tcPr>
            <w:tcW w:w="1130" w:type="dxa"/>
            <w:tcBorders>
              <w:top w:val="single" w:color="000000" w:sz="4" w:space="0"/>
              <w:left w:val="nil"/>
              <w:bottom w:val="single" w:color="000000" w:sz="4" w:space="0"/>
              <w:right w:val="single" w:color="000000" w:sz="4" w:space="0"/>
            </w:tcBorders>
            <w:shd w:val="clear" w:color="auto" w:fill="auto"/>
          </w:tcPr>
          <w:p>
            <w:pPr>
              <w:pStyle w:val="40"/>
              <w:widowControl/>
              <w:spacing w:before="1"/>
              <w:rPr>
                <w:rFonts w:hint="default"/>
                <w:b/>
                <w:sz w:val="14"/>
                <w:szCs w:val="14"/>
              </w:rPr>
            </w:pPr>
          </w:p>
          <w:p>
            <w:pPr>
              <w:pStyle w:val="40"/>
              <w:widowControl/>
              <w:spacing w:before="1" w:line="247" w:lineRule="auto"/>
              <w:ind w:left="144" w:right="136" w:hanging="36"/>
              <w:rPr>
                <w:rFonts w:hint="default"/>
                <w:sz w:val="21"/>
                <w:szCs w:val="21"/>
              </w:rPr>
            </w:pPr>
            <w:r>
              <w:rPr>
                <w:rFonts w:cs="宋体"/>
                <w:sz w:val="21"/>
                <w:szCs w:val="21"/>
              </w:rPr>
              <w:t>地质灾害影响对象</w:t>
            </w:r>
          </w:p>
        </w:tc>
        <w:tc>
          <w:tcPr>
            <w:tcW w:w="927" w:type="dxa"/>
            <w:tcBorders>
              <w:top w:val="single" w:color="000000" w:sz="4" w:space="0"/>
              <w:left w:val="nil"/>
              <w:bottom w:val="single" w:color="000000" w:sz="4" w:space="0"/>
              <w:right w:val="single" w:color="000000" w:sz="4" w:space="0"/>
            </w:tcBorders>
            <w:shd w:val="clear" w:color="auto" w:fill="auto"/>
          </w:tcPr>
          <w:p>
            <w:pPr>
              <w:pStyle w:val="40"/>
              <w:widowControl/>
              <w:spacing w:before="42" w:line="244" w:lineRule="auto"/>
              <w:ind w:left="146" w:right="139"/>
              <w:jc w:val="center"/>
              <w:rPr>
                <w:rFonts w:hint="default"/>
                <w:sz w:val="21"/>
                <w:szCs w:val="21"/>
              </w:rPr>
            </w:pPr>
            <w:r>
              <w:rPr>
                <w:rFonts w:cs="宋体"/>
                <w:spacing w:val="-6"/>
                <w:sz w:val="21"/>
                <w:szCs w:val="21"/>
              </w:rPr>
              <w:t>地质灾害危害</w:t>
            </w:r>
          </w:p>
          <w:p>
            <w:pPr>
              <w:pStyle w:val="40"/>
              <w:widowControl/>
              <w:spacing w:before="5"/>
              <w:ind w:left="144" w:right="139"/>
              <w:jc w:val="center"/>
              <w:rPr>
                <w:rFonts w:hint="default"/>
                <w:sz w:val="21"/>
                <w:szCs w:val="21"/>
              </w:rPr>
            </w:pPr>
            <w:r>
              <w:rPr>
                <w:rFonts w:cs="宋体"/>
                <w:spacing w:val="-1"/>
                <w:sz w:val="21"/>
                <w:szCs w:val="21"/>
              </w:rPr>
              <w:t>程度</w:t>
            </w:r>
          </w:p>
        </w:tc>
        <w:tc>
          <w:tcPr>
            <w:tcW w:w="2483" w:type="dxa"/>
            <w:tcBorders>
              <w:top w:val="single" w:color="000000" w:sz="4" w:space="0"/>
              <w:left w:val="nil"/>
              <w:bottom w:val="single" w:color="000000" w:sz="4" w:space="0"/>
              <w:right w:val="single" w:color="000000" w:sz="4" w:space="0"/>
            </w:tcBorders>
            <w:shd w:val="clear" w:color="auto" w:fill="auto"/>
          </w:tcPr>
          <w:p>
            <w:pPr>
              <w:pStyle w:val="40"/>
              <w:widowControl/>
              <w:spacing w:before="1"/>
              <w:rPr>
                <w:rFonts w:hint="default"/>
                <w:b/>
                <w:sz w:val="14"/>
                <w:szCs w:val="14"/>
              </w:rPr>
            </w:pPr>
          </w:p>
          <w:p>
            <w:pPr>
              <w:pStyle w:val="40"/>
              <w:widowControl/>
              <w:spacing w:before="1" w:line="247" w:lineRule="auto"/>
              <w:ind w:left="506" w:right="495"/>
              <w:rPr>
                <w:rFonts w:hint="default"/>
                <w:sz w:val="21"/>
                <w:szCs w:val="21"/>
              </w:rPr>
            </w:pPr>
            <w:r>
              <w:rPr>
                <w:rFonts w:cs="宋体"/>
                <w:sz w:val="21"/>
                <w:szCs w:val="21"/>
              </w:rPr>
              <w:t>影响的土地资源类型及影响程度</w:t>
            </w:r>
          </w:p>
        </w:tc>
        <w:tc>
          <w:tcPr>
            <w:tcW w:w="2710"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5"/>
                <w:szCs w:val="25"/>
              </w:rPr>
            </w:pPr>
          </w:p>
          <w:p>
            <w:pPr>
              <w:pStyle w:val="40"/>
              <w:widowControl/>
              <w:ind w:left="620"/>
              <w:rPr>
                <w:rFonts w:hint="default"/>
                <w:sz w:val="21"/>
                <w:szCs w:val="21"/>
              </w:rPr>
            </w:pPr>
            <w:r>
              <w:rPr>
                <w:rFonts w:cs="宋体"/>
                <w:sz w:val="21"/>
                <w:szCs w:val="21"/>
              </w:rPr>
              <w:t>对水资源的影响</w:t>
            </w:r>
          </w:p>
        </w:tc>
        <w:tc>
          <w:tcPr>
            <w:tcW w:w="2339"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5"/>
                <w:szCs w:val="25"/>
              </w:rPr>
            </w:pPr>
          </w:p>
          <w:p>
            <w:pPr>
              <w:pStyle w:val="40"/>
              <w:widowControl/>
              <w:ind w:left="88" w:right="83"/>
              <w:jc w:val="center"/>
              <w:rPr>
                <w:rFonts w:hint="default"/>
                <w:sz w:val="21"/>
                <w:szCs w:val="21"/>
              </w:rPr>
            </w:pPr>
            <w:r>
              <w:rPr>
                <w:rFonts w:cs="宋体"/>
                <w:sz w:val="21"/>
                <w:szCs w:val="21"/>
              </w:rPr>
              <w:t>对水环境的影响</w:t>
            </w:r>
          </w:p>
        </w:tc>
        <w:tc>
          <w:tcPr>
            <w:tcW w:w="720" w:type="dxa"/>
            <w:tcBorders>
              <w:top w:val="single" w:color="000000" w:sz="4" w:space="0"/>
              <w:left w:val="nil"/>
              <w:bottom w:val="single" w:color="000000" w:sz="4" w:space="0"/>
              <w:right w:val="single" w:color="000000" w:sz="4" w:space="0"/>
            </w:tcBorders>
            <w:shd w:val="clear" w:color="auto" w:fill="auto"/>
          </w:tcPr>
          <w:p>
            <w:pPr>
              <w:pStyle w:val="40"/>
              <w:widowControl/>
              <w:spacing w:before="1"/>
              <w:rPr>
                <w:rFonts w:hint="default"/>
                <w:b/>
                <w:sz w:val="14"/>
                <w:szCs w:val="14"/>
              </w:rPr>
            </w:pPr>
          </w:p>
          <w:p>
            <w:pPr>
              <w:pStyle w:val="40"/>
              <w:widowControl/>
              <w:spacing w:before="1" w:line="247" w:lineRule="auto"/>
              <w:ind w:left="150" w:right="139"/>
              <w:rPr>
                <w:rFonts w:hint="default"/>
                <w:sz w:val="21"/>
                <w:szCs w:val="21"/>
              </w:rPr>
            </w:pPr>
            <w:r>
              <w:rPr>
                <w:rFonts w:cs="宋体"/>
                <w:sz w:val="21"/>
                <w:szCs w:val="21"/>
              </w:rPr>
              <w:t>防治难度</w:t>
            </w:r>
          </w:p>
        </w:tc>
        <w:tc>
          <w:tcPr>
            <w:tcW w:w="955" w:type="dxa"/>
            <w:tcBorders>
              <w:top w:val="single" w:color="000000" w:sz="4" w:space="0"/>
              <w:left w:val="nil"/>
              <w:bottom w:val="single" w:color="000000" w:sz="4" w:space="0"/>
              <w:right w:val="single" w:color="000000" w:sz="4" w:space="0"/>
            </w:tcBorders>
            <w:shd w:val="clear" w:color="auto" w:fill="auto"/>
          </w:tcPr>
          <w:p>
            <w:pPr>
              <w:pStyle w:val="40"/>
              <w:widowControl/>
              <w:spacing w:before="1"/>
              <w:rPr>
                <w:rFonts w:hint="default"/>
                <w:b/>
                <w:sz w:val="14"/>
                <w:szCs w:val="14"/>
              </w:rPr>
            </w:pPr>
          </w:p>
          <w:p>
            <w:pPr>
              <w:pStyle w:val="40"/>
              <w:widowControl/>
              <w:spacing w:before="1" w:line="247" w:lineRule="auto"/>
              <w:ind w:left="265" w:right="259"/>
              <w:rPr>
                <w:rFonts w:hint="default"/>
                <w:sz w:val="21"/>
                <w:szCs w:val="21"/>
              </w:rPr>
            </w:pPr>
            <w:r>
              <w:rPr>
                <w:rFonts w:cs="宋体"/>
                <w:sz w:val="21"/>
                <w:szCs w:val="21"/>
              </w:rPr>
              <w:t>预测评估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8" w:hRule="atLeast"/>
        </w:trPr>
        <w:tc>
          <w:tcPr>
            <w:tcW w:w="1313"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162" w:line="283" w:lineRule="auto"/>
              <w:ind w:left="341" w:right="174" w:hanging="53"/>
              <w:rPr>
                <w:rFonts w:hint="default"/>
                <w:sz w:val="21"/>
                <w:szCs w:val="21"/>
              </w:rPr>
            </w:pPr>
            <w:r>
              <w:rPr>
                <w:rFonts w:cs="宋体"/>
                <w:sz w:val="21"/>
                <w:szCs w:val="21"/>
              </w:rPr>
              <w:t>预测地面塌陷区</w:t>
            </w:r>
          </w:p>
        </w:tc>
        <w:tc>
          <w:tcPr>
            <w:tcW w:w="126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3"/>
              <w:rPr>
                <w:rFonts w:hint="default"/>
                <w:b/>
                <w:sz w:val="25"/>
                <w:szCs w:val="25"/>
              </w:rPr>
            </w:pPr>
          </w:p>
          <w:p>
            <w:pPr>
              <w:pStyle w:val="40"/>
              <w:widowControl/>
              <w:ind w:left="317"/>
              <w:rPr>
                <w:rFonts w:hint="default"/>
                <w:sz w:val="21"/>
                <w:szCs w:val="21"/>
              </w:rPr>
            </w:pPr>
            <w:r>
              <w:rPr>
                <w:rFonts w:cs="宋体"/>
                <w:sz w:val="21"/>
                <w:szCs w:val="21"/>
              </w:rPr>
              <w:t>0.6497</w:t>
            </w:r>
          </w:p>
        </w:tc>
        <w:tc>
          <w:tcPr>
            <w:tcW w:w="1130" w:type="dxa"/>
            <w:tcBorders>
              <w:top w:val="single" w:color="000000" w:sz="4" w:space="0"/>
              <w:left w:val="nil"/>
              <w:bottom w:val="single" w:color="000000" w:sz="4" w:space="0"/>
              <w:right w:val="single" w:color="000000" w:sz="4" w:space="0"/>
            </w:tcBorders>
            <w:shd w:val="clear" w:color="auto" w:fill="auto"/>
          </w:tcPr>
          <w:p>
            <w:pPr>
              <w:pStyle w:val="40"/>
              <w:widowControl/>
              <w:spacing w:before="1"/>
              <w:rPr>
                <w:rFonts w:hint="default"/>
                <w:b/>
                <w:sz w:val="20"/>
                <w:szCs w:val="20"/>
              </w:rPr>
            </w:pPr>
          </w:p>
          <w:p>
            <w:pPr>
              <w:pStyle w:val="40"/>
              <w:widowControl/>
              <w:spacing w:before="1" w:line="283" w:lineRule="auto"/>
              <w:ind w:left="144" w:right="136"/>
              <w:jc w:val="both"/>
              <w:rPr>
                <w:rFonts w:hint="default"/>
                <w:sz w:val="21"/>
                <w:szCs w:val="21"/>
              </w:rPr>
            </w:pPr>
            <w:r>
              <w:rPr>
                <w:rFonts w:cs="宋体"/>
                <w:sz w:val="21"/>
                <w:szCs w:val="21"/>
              </w:rPr>
              <w:t>采矿工作人员和机械设备</w:t>
            </w:r>
          </w:p>
        </w:tc>
        <w:tc>
          <w:tcPr>
            <w:tcW w:w="927"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3"/>
              <w:rPr>
                <w:rFonts w:hint="default"/>
                <w:b/>
                <w:sz w:val="25"/>
                <w:szCs w:val="25"/>
              </w:rPr>
            </w:pPr>
          </w:p>
          <w:p>
            <w:pPr>
              <w:pStyle w:val="40"/>
              <w:widowControl/>
              <w:ind w:left="146"/>
              <w:rPr>
                <w:rFonts w:hint="default"/>
                <w:sz w:val="21"/>
                <w:szCs w:val="21"/>
              </w:rPr>
            </w:pPr>
            <w:r>
              <w:rPr>
                <w:rFonts w:cs="宋体"/>
                <w:sz w:val="21"/>
                <w:szCs w:val="21"/>
              </w:rPr>
              <w:t>较严重</w:t>
            </w:r>
          </w:p>
        </w:tc>
        <w:tc>
          <w:tcPr>
            <w:tcW w:w="2483" w:type="dxa"/>
            <w:tcBorders>
              <w:top w:val="single" w:color="000000" w:sz="4" w:space="0"/>
              <w:left w:val="nil"/>
              <w:bottom w:val="single" w:color="000000" w:sz="4" w:space="0"/>
              <w:right w:val="single" w:color="000000" w:sz="4" w:space="0"/>
            </w:tcBorders>
            <w:shd w:val="clear" w:color="auto" w:fill="auto"/>
          </w:tcPr>
          <w:p>
            <w:pPr>
              <w:pStyle w:val="40"/>
              <w:widowControl/>
              <w:spacing w:before="1"/>
              <w:rPr>
                <w:rFonts w:hint="default"/>
                <w:b/>
                <w:sz w:val="20"/>
                <w:szCs w:val="20"/>
              </w:rPr>
            </w:pPr>
          </w:p>
          <w:p>
            <w:pPr>
              <w:pStyle w:val="40"/>
              <w:widowControl/>
              <w:spacing w:before="1" w:line="283" w:lineRule="auto"/>
              <w:ind w:left="107" w:right="97"/>
              <w:jc w:val="both"/>
              <w:rPr>
                <w:rFonts w:hint="default"/>
                <w:sz w:val="21"/>
                <w:szCs w:val="21"/>
              </w:rPr>
            </w:pPr>
            <w:r>
              <w:rPr>
                <w:rFonts w:cs="宋体"/>
                <w:sz w:val="21"/>
                <w:szCs w:val="21"/>
              </w:rPr>
              <w:t>破坏的土地类型为天然草地；对土地资源影响程度较轻。</w:t>
            </w:r>
          </w:p>
        </w:tc>
        <w:tc>
          <w:tcPr>
            <w:tcW w:w="2710" w:type="dxa"/>
            <w:tcBorders>
              <w:top w:val="single" w:color="000000" w:sz="4" w:space="0"/>
              <w:left w:val="nil"/>
              <w:bottom w:val="single" w:color="000000" w:sz="4" w:space="0"/>
              <w:right w:val="single" w:color="000000" w:sz="4" w:space="0"/>
            </w:tcBorders>
            <w:shd w:val="clear" w:color="auto" w:fill="auto"/>
          </w:tcPr>
          <w:p>
            <w:pPr>
              <w:pStyle w:val="40"/>
              <w:widowControl/>
              <w:spacing w:before="99" w:line="283" w:lineRule="auto"/>
              <w:ind w:left="106" w:right="97"/>
              <w:jc w:val="both"/>
              <w:rPr>
                <w:rFonts w:hint="default"/>
                <w:sz w:val="21"/>
                <w:szCs w:val="21"/>
              </w:rPr>
            </w:pPr>
            <w:r>
              <w:rPr>
                <w:rFonts w:cs="宋体"/>
                <w:spacing w:val="15"/>
                <w:sz w:val="21"/>
                <w:szCs w:val="21"/>
              </w:rPr>
              <w:t>矿山开采过程中疏干水量</w:t>
            </w:r>
            <w:r>
              <w:rPr>
                <w:rFonts w:cs="宋体"/>
                <w:spacing w:val="-6"/>
                <w:sz w:val="21"/>
                <w:szCs w:val="21"/>
              </w:rPr>
              <w:t>较小，矿业活动不会造成地</w:t>
            </w:r>
            <w:r>
              <w:rPr>
                <w:rFonts w:cs="宋体"/>
                <w:spacing w:val="15"/>
                <w:sz w:val="21"/>
                <w:szCs w:val="21"/>
              </w:rPr>
              <w:t>表水漏失、泉井干涸等现</w:t>
            </w:r>
          </w:p>
          <w:p>
            <w:pPr>
              <w:pStyle w:val="40"/>
              <w:widowControl/>
              <w:spacing w:line="269" w:lineRule="exact"/>
              <w:ind w:left="106"/>
              <w:rPr>
                <w:rFonts w:hint="default"/>
                <w:sz w:val="21"/>
                <w:szCs w:val="21"/>
              </w:rPr>
            </w:pPr>
            <w:r>
              <w:rPr>
                <w:rFonts w:cs="宋体"/>
                <w:sz w:val="21"/>
                <w:szCs w:val="21"/>
              </w:rPr>
              <w:t>象，对水资源的影响较轻。</w:t>
            </w:r>
          </w:p>
        </w:tc>
        <w:tc>
          <w:tcPr>
            <w:tcW w:w="2339" w:type="dxa"/>
            <w:tcBorders>
              <w:top w:val="single" w:color="000000" w:sz="4" w:space="0"/>
              <w:left w:val="nil"/>
              <w:bottom w:val="single" w:color="000000" w:sz="4" w:space="0"/>
              <w:right w:val="single" w:color="000000" w:sz="4" w:space="0"/>
            </w:tcBorders>
            <w:shd w:val="clear" w:color="auto" w:fill="auto"/>
          </w:tcPr>
          <w:p>
            <w:pPr>
              <w:pStyle w:val="40"/>
              <w:widowControl/>
              <w:spacing w:before="99" w:line="283" w:lineRule="auto"/>
              <w:ind w:left="108" w:right="-15"/>
              <w:rPr>
                <w:rFonts w:hint="default"/>
                <w:sz w:val="21"/>
                <w:szCs w:val="21"/>
              </w:rPr>
            </w:pPr>
            <w:r>
              <w:rPr>
                <w:rFonts w:cs="宋体"/>
                <w:sz w:val="21"/>
                <w:szCs w:val="21"/>
              </w:rPr>
              <w:t>矿山生产、生活污水排</w:t>
            </w:r>
            <w:r>
              <w:rPr>
                <w:rFonts w:cs="宋体"/>
                <w:spacing w:val="-10"/>
                <w:sz w:val="21"/>
                <w:szCs w:val="21"/>
              </w:rPr>
              <w:t xml:space="preserve">放量较小，基本无污染， </w:t>
            </w:r>
            <w:r>
              <w:rPr>
                <w:rFonts w:cs="宋体"/>
                <w:spacing w:val="24"/>
                <w:sz w:val="21"/>
                <w:szCs w:val="21"/>
              </w:rPr>
              <w:t>对水环境影响程度较</w:t>
            </w:r>
          </w:p>
          <w:p>
            <w:pPr>
              <w:pStyle w:val="40"/>
              <w:widowControl/>
              <w:spacing w:line="269" w:lineRule="exact"/>
              <w:ind w:left="108"/>
              <w:rPr>
                <w:rFonts w:hint="default"/>
                <w:sz w:val="21"/>
                <w:szCs w:val="21"/>
              </w:rPr>
            </w:pPr>
            <w:r>
              <w:rPr>
                <w:rFonts w:cs="宋体"/>
                <w:sz w:val="21"/>
                <w:szCs w:val="21"/>
              </w:rPr>
              <w:t>轻。</w:t>
            </w:r>
          </w:p>
        </w:tc>
        <w:tc>
          <w:tcPr>
            <w:tcW w:w="720"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162" w:line="283" w:lineRule="auto"/>
              <w:ind w:left="150" w:right="139"/>
              <w:rPr>
                <w:rFonts w:hint="default"/>
                <w:sz w:val="21"/>
                <w:szCs w:val="21"/>
              </w:rPr>
            </w:pPr>
            <w:r>
              <w:rPr>
                <w:rFonts w:cs="宋体"/>
                <w:sz w:val="21"/>
                <w:szCs w:val="21"/>
              </w:rPr>
              <w:t>难度较小</w:t>
            </w:r>
          </w:p>
        </w:tc>
        <w:tc>
          <w:tcPr>
            <w:tcW w:w="95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162" w:line="283" w:lineRule="auto"/>
              <w:ind w:left="265" w:right="259"/>
              <w:rPr>
                <w:rFonts w:hint="default"/>
                <w:sz w:val="21"/>
                <w:szCs w:val="21"/>
              </w:rPr>
            </w:pPr>
            <w:r>
              <w:rPr>
                <w:rFonts w:cs="宋体"/>
                <w:sz w:val="21"/>
                <w:szCs w:val="21"/>
              </w:rPr>
              <w:t>较严重区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1313"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rPr>
                <w:rFonts w:hint="default"/>
                <w:b/>
                <w:sz w:val="20"/>
                <w:szCs w:val="20"/>
              </w:rPr>
            </w:pPr>
          </w:p>
          <w:p>
            <w:pPr>
              <w:pStyle w:val="40"/>
              <w:widowControl/>
              <w:spacing w:before="139"/>
              <w:ind w:left="214" w:right="206"/>
              <w:jc w:val="center"/>
              <w:rPr>
                <w:rFonts w:hint="default"/>
                <w:sz w:val="21"/>
                <w:szCs w:val="21"/>
              </w:rPr>
            </w:pPr>
            <w:r>
              <w:rPr>
                <w:rFonts w:cs="宋体"/>
                <w:sz w:val="21"/>
                <w:szCs w:val="21"/>
              </w:rPr>
              <w:t>储煤场</w:t>
            </w:r>
          </w:p>
        </w:tc>
        <w:tc>
          <w:tcPr>
            <w:tcW w:w="126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rPr>
                <w:rFonts w:hint="default"/>
                <w:b/>
                <w:sz w:val="20"/>
                <w:szCs w:val="20"/>
              </w:rPr>
            </w:pPr>
          </w:p>
          <w:p>
            <w:pPr>
              <w:pStyle w:val="40"/>
              <w:widowControl/>
              <w:spacing w:before="139"/>
              <w:ind w:left="317"/>
              <w:rPr>
                <w:rFonts w:hint="default" w:eastAsia="宋体"/>
                <w:sz w:val="21"/>
                <w:szCs w:val="21"/>
                <w:lang w:val="en-US" w:eastAsia="zh-CN"/>
              </w:rPr>
            </w:pPr>
            <w:r>
              <w:rPr>
                <w:rFonts w:cs="宋体"/>
                <w:sz w:val="21"/>
                <w:szCs w:val="21"/>
              </w:rPr>
              <w:t>0.00</w:t>
            </w:r>
            <w:r>
              <w:rPr>
                <w:rFonts w:hint="eastAsia" w:cs="宋体"/>
                <w:sz w:val="21"/>
                <w:szCs w:val="21"/>
                <w:lang w:val="en-US" w:eastAsia="zh-CN"/>
              </w:rPr>
              <w:t>57</w:t>
            </w:r>
          </w:p>
        </w:tc>
        <w:tc>
          <w:tcPr>
            <w:tcW w:w="2057" w:type="dxa"/>
            <w:gridSpan w:val="2"/>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rPr>
                <w:rFonts w:hint="default"/>
                <w:b/>
                <w:sz w:val="20"/>
                <w:szCs w:val="20"/>
              </w:rPr>
            </w:pPr>
          </w:p>
          <w:p>
            <w:pPr>
              <w:pStyle w:val="40"/>
              <w:widowControl/>
              <w:spacing w:before="139"/>
              <w:ind w:left="292"/>
              <w:rPr>
                <w:rFonts w:hint="default"/>
                <w:sz w:val="21"/>
                <w:szCs w:val="21"/>
              </w:rPr>
            </w:pPr>
            <w:r>
              <w:rPr>
                <w:rFonts w:cs="宋体"/>
                <w:sz w:val="21"/>
                <w:szCs w:val="21"/>
              </w:rPr>
              <w:t>地质灾害不发育</w:t>
            </w:r>
          </w:p>
        </w:tc>
        <w:tc>
          <w:tcPr>
            <w:tcW w:w="2483" w:type="dxa"/>
            <w:vMerge w:val="restart"/>
            <w:tcBorders>
              <w:top w:val="nil"/>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rPr>
                <w:rFonts w:hint="default"/>
                <w:b/>
                <w:sz w:val="20"/>
                <w:szCs w:val="20"/>
              </w:rPr>
            </w:pPr>
          </w:p>
          <w:p>
            <w:pPr>
              <w:pStyle w:val="40"/>
              <w:widowControl/>
              <w:rPr>
                <w:rFonts w:hint="default"/>
                <w:b/>
                <w:sz w:val="20"/>
                <w:szCs w:val="20"/>
              </w:rPr>
            </w:pPr>
          </w:p>
          <w:p>
            <w:pPr>
              <w:pStyle w:val="40"/>
              <w:widowControl/>
              <w:spacing w:before="11"/>
              <w:rPr>
                <w:rFonts w:hint="default"/>
                <w:b/>
                <w:sz w:val="14"/>
                <w:szCs w:val="14"/>
              </w:rPr>
            </w:pPr>
          </w:p>
          <w:p>
            <w:pPr>
              <w:pStyle w:val="40"/>
              <w:widowControl/>
              <w:spacing w:line="283" w:lineRule="auto"/>
              <w:ind w:left="107" w:right="97"/>
              <w:jc w:val="both"/>
              <w:rPr>
                <w:rFonts w:hint="default"/>
                <w:sz w:val="21"/>
                <w:szCs w:val="21"/>
              </w:rPr>
            </w:pPr>
            <w:r>
              <w:rPr>
                <w:rFonts w:cs="宋体"/>
                <w:sz w:val="21"/>
                <w:szCs w:val="21"/>
              </w:rPr>
              <w:t>占用的土地类型为天然草地，对土地资源影响程度较轻。</w:t>
            </w:r>
          </w:p>
        </w:tc>
        <w:tc>
          <w:tcPr>
            <w:tcW w:w="2710" w:type="dxa"/>
            <w:vMerge w:val="restart"/>
            <w:tcBorders>
              <w:top w:val="nil"/>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rPr>
                <w:rFonts w:hint="default"/>
                <w:b/>
                <w:sz w:val="20"/>
                <w:szCs w:val="20"/>
              </w:rPr>
            </w:pPr>
          </w:p>
          <w:p>
            <w:pPr>
              <w:pStyle w:val="40"/>
              <w:widowControl/>
              <w:spacing w:before="4"/>
              <w:rPr>
                <w:rFonts w:hint="default"/>
                <w:b/>
              </w:rPr>
            </w:pPr>
          </w:p>
          <w:p>
            <w:pPr>
              <w:pStyle w:val="40"/>
              <w:widowControl/>
              <w:spacing w:line="283" w:lineRule="auto"/>
              <w:ind w:left="106" w:right="71"/>
              <w:jc w:val="both"/>
              <w:rPr>
                <w:rFonts w:hint="default"/>
                <w:sz w:val="21"/>
                <w:szCs w:val="21"/>
              </w:rPr>
            </w:pPr>
            <w:r>
              <w:rPr>
                <w:rFonts w:cs="宋体"/>
                <w:sz w:val="21"/>
                <w:szCs w:val="21"/>
              </w:rPr>
              <w:t>矿山生产、生活用水量较小，矿业活动不会造成地表水漏失、泉井干涸等现象， 对水资源的影响较轻。</w:t>
            </w:r>
          </w:p>
        </w:tc>
        <w:tc>
          <w:tcPr>
            <w:tcW w:w="2339" w:type="dxa"/>
            <w:vMerge w:val="restart"/>
            <w:tcBorders>
              <w:top w:val="nil"/>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rPr>
                <w:rFonts w:hint="default"/>
                <w:b/>
                <w:sz w:val="20"/>
                <w:szCs w:val="20"/>
              </w:rPr>
            </w:pPr>
          </w:p>
          <w:p>
            <w:pPr>
              <w:pStyle w:val="40"/>
              <w:widowControl/>
              <w:spacing w:before="4"/>
              <w:rPr>
                <w:rFonts w:hint="default"/>
                <w:b/>
              </w:rPr>
            </w:pPr>
          </w:p>
          <w:p>
            <w:pPr>
              <w:pStyle w:val="40"/>
              <w:widowControl/>
              <w:spacing w:line="283" w:lineRule="auto"/>
              <w:ind w:left="108" w:right="-15"/>
              <w:rPr>
                <w:rFonts w:hint="default"/>
                <w:sz w:val="21"/>
                <w:szCs w:val="21"/>
              </w:rPr>
            </w:pPr>
            <w:r>
              <w:rPr>
                <w:rFonts w:cs="宋体"/>
                <w:sz w:val="21"/>
                <w:szCs w:val="21"/>
              </w:rPr>
              <w:t>矿山生产、生活污水排</w:t>
            </w:r>
            <w:r>
              <w:rPr>
                <w:rFonts w:cs="宋体"/>
                <w:spacing w:val="-10"/>
                <w:sz w:val="21"/>
                <w:szCs w:val="21"/>
              </w:rPr>
              <w:t xml:space="preserve">放量较小，基本无污染， </w:t>
            </w:r>
            <w:r>
              <w:rPr>
                <w:rFonts w:cs="宋体"/>
                <w:spacing w:val="24"/>
                <w:sz w:val="21"/>
                <w:szCs w:val="21"/>
              </w:rPr>
              <w:t>对水环境影响程度较轻。</w:t>
            </w:r>
          </w:p>
        </w:tc>
        <w:tc>
          <w:tcPr>
            <w:tcW w:w="720"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6"/>
              <w:rPr>
                <w:rFonts w:hint="default"/>
                <w:b/>
                <w:sz w:val="18"/>
                <w:szCs w:val="18"/>
              </w:rPr>
            </w:pPr>
          </w:p>
          <w:p>
            <w:pPr>
              <w:pStyle w:val="40"/>
              <w:widowControl/>
              <w:spacing w:line="283" w:lineRule="auto"/>
              <w:ind w:left="253" w:right="139" w:hanging="104"/>
              <w:rPr>
                <w:rFonts w:hint="default"/>
                <w:sz w:val="21"/>
                <w:szCs w:val="21"/>
              </w:rPr>
            </w:pPr>
            <w:r>
              <w:rPr>
                <w:rFonts w:cs="宋体"/>
                <w:sz w:val="21"/>
                <w:szCs w:val="21"/>
              </w:rPr>
              <w:t>难度小</w:t>
            </w:r>
          </w:p>
        </w:tc>
        <w:tc>
          <w:tcPr>
            <w:tcW w:w="95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rPr>
                <w:rFonts w:hint="default"/>
                <w:b/>
                <w:sz w:val="20"/>
                <w:szCs w:val="20"/>
              </w:rPr>
            </w:pPr>
          </w:p>
          <w:p>
            <w:pPr>
              <w:pStyle w:val="40"/>
              <w:widowControl/>
              <w:spacing w:before="139"/>
              <w:ind w:left="162"/>
              <w:rPr>
                <w:rFonts w:hint="default"/>
                <w:sz w:val="21"/>
                <w:szCs w:val="21"/>
              </w:rPr>
            </w:pPr>
            <w:r>
              <w:rPr>
                <w:rFonts w:cs="宋体"/>
                <w:sz w:val="21"/>
                <w:szCs w:val="21"/>
              </w:rPr>
              <w:t>较轻区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1313"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spacing w:before="12"/>
              <w:rPr>
                <w:rFonts w:hint="default"/>
                <w:b/>
                <w:sz w:val="26"/>
                <w:szCs w:val="26"/>
              </w:rPr>
            </w:pPr>
          </w:p>
          <w:p>
            <w:pPr>
              <w:pStyle w:val="40"/>
              <w:widowControl/>
              <w:spacing w:line="283" w:lineRule="auto"/>
              <w:ind w:left="341" w:right="121" w:hanging="212"/>
              <w:rPr>
                <w:rFonts w:hint="default"/>
                <w:sz w:val="21"/>
                <w:szCs w:val="21"/>
              </w:rPr>
            </w:pPr>
            <w:r>
              <w:rPr>
                <w:rFonts w:cs="宋体"/>
                <w:sz w:val="21"/>
                <w:szCs w:val="21"/>
              </w:rPr>
              <w:t>工业场地和办公区</w:t>
            </w:r>
          </w:p>
        </w:tc>
        <w:tc>
          <w:tcPr>
            <w:tcW w:w="126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ind w:left="317"/>
              <w:rPr>
                <w:rFonts w:hint="default"/>
                <w:sz w:val="21"/>
                <w:szCs w:val="21"/>
              </w:rPr>
            </w:pPr>
            <w:r>
              <w:rPr>
                <w:rFonts w:cs="宋体"/>
                <w:sz w:val="21"/>
                <w:szCs w:val="21"/>
              </w:rPr>
              <w:t>0.0119</w:t>
            </w:r>
          </w:p>
        </w:tc>
        <w:tc>
          <w:tcPr>
            <w:tcW w:w="2057" w:type="dxa"/>
            <w:gridSpan w:val="2"/>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ind w:left="292"/>
              <w:rPr>
                <w:rFonts w:hint="default"/>
                <w:sz w:val="21"/>
                <w:szCs w:val="21"/>
              </w:rPr>
            </w:pPr>
            <w:r>
              <w:rPr>
                <w:rFonts w:cs="宋体"/>
                <w:sz w:val="21"/>
                <w:szCs w:val="21"/>
              </w:rPr>
              <w:t>地质灾害不发育</w:t>
            </w:r>
          </w:p>
        </w:tc>
        <w:tc>
          <w:tcPr>
            <w:tcW w:w="2483" w:type="dxa"/>
            <w:vMerge w:val="continue"/>
            <w:tcBorders>
              <w:top w:val="nil"/>
              <w:left w:val="nil"/>
              <w:bottom w:val="single" w:color="000000" w:sz="4" w:space="0"/>
              <w:right w:val="single" w:color="000000" w:sz="4" w:space="0"/>
            </w:tcBorders>
            <w:shd w:val="clear" w:color="auto" w:fill="auto"/>
          </w:tcPr>
          <w:p>
            <w:pPr>
              <w:rPr>
                <w:rFonts w:ascii="Times New Roman" w:hAnsi="Times New Roman" w:cs="Times New Roman"/>
                <w:sz w:val="20"/>
                <w:szCs w:val="20"/>
              </w:rPr>
            </w:pPr>
          </w:p>
        </w:tc>
        <w:tc>
          <w:tcPr>
            <w:tcW w:w="2710" w:type="dxa"/>
            <w:vMerge w:val="continue"/>
            <w:tcBorders>
              <w:top w:val="nil"/>
              <w:left w:val="nil"/>
              <w:bottom w:val="single" w:color="000000" w:sz="4" w:space="0"/>
              <w:right w:val="single" w:color="000000" w:sz="4" w:space="0"/>
            </w:tcBorders>
            <w:shd w:val="clear" w:color="auto" w:fill="auto"/>
          </w:tcPr>
          <w:p>
            <w:pPr>
              <w:rPr>
                <w:rFonts w:ascii="Times New Roman" w:hAnsi="Times New Roman" w:cs="Times New Roman"/>
                <w:sz w:val="20"/>
                <w:szCs w:val="20"/>
              </w:rPr>
            </w:pPr>
          </w:p>
        </w:tc>
        <w:tc>
          <w:tcPr>
            <w:tcW w:w="2339" w:type="dxa"/>
            <w:vMerge w:val="continue"/>
            <w:tcBorders>
              <w:top w:val="nil"/>
              <w:left w:val="nil"/>
              <w:bottom w:val="single" w:color="000000" w:sz="4" w:space="0"/>
              <w:right w:val="single" w:color="000000" w:sz="4" w:space="0"/>
            </w:tcBorders>
            <w:shd w:val="clear" w:color="auto" w:fill="auto"/>
          </w:tcPr>
          <w:p>
            <w:pPr>
              <w:rPr>
                <w:rFonts w:ascii="Times New Roman" w:hAnsi="Times New Roman" w:cs="Times New Roman"/>
                <w:sz w:val="20"/>
                <w:szCs w:val="20"/>
              </w:rPr>
            </w:pPr>
          </w:p>
        </w:tc>
        <w:tc>
          <w:tcPr>
            <w:tcW w:w="720" w:type="dxa"/>
            <w:tcBorders>
              <w:top w:val="single" w:color="000000" w:sz="4" w:space="0"/>
              <w:left w:val="nil"/>
              <w:bottom w:val="single" w:color="000000" w:sz="4" w:space="0"/>
              <w:right w:val="single" w:color="000000" w:sz="4" w:space="0"/>
            </w:tcBorders>
            <w:shd w:val="clear" w:color="auto" w:fill="auto"/>
          </w:tcPr>
          <w:p>
            <w:pPr>
              <w:pStyle w:val="40"/>
              <w:widowControl/>
              <w:spacing w:before="12"/>
              <w:rPr>
                <w:rFonts w:hint="default"/>
                <w:b/>
                <w:sz w:val="26"/>
                <w:szCs w:val="26"/>
              </w:rPr>
            </w:pPr>
          </w:p>
          <w:p>
            <w:pPr>
              <w:pStyle w:val="40"/>
              <w:widowControl/>
              <w:spacing w:line="283" w:lineRule="auto"/>
              <w:ind w:left="150" w:right="139"/>
              <w:rPr>
                <w:rFonts w:hint="default"/>
                <w:sz w:val="21"/>
                <w:szCs w:val="21"/>
              </w:rPr>
            </w:pPr>
            <w:r>
              <w:rPr>
                <w:rFonts w:cs="宋体"/>
                <w:sz w:val="21"/>
                <w:szCs w:val="21"/>
              </w:rPr>
              <w:t>无需治理</w:t>
            </w:r>
          </w:p>
        </w:tc>
        <w:tc>
          <w:tcPr>
            <w:tcW w:w="95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ind w:left="162"/>
              <w:rPr>
                <w:rFonts w:hint="default"/>
                <w:sz w:val="21"/>
                <w:szCs w:val="21"/>
              </w:rPr>
            </w:pPr>
            <w:r>
              <w:rPr>
                <w:rFonts w:cs="宋体"/>
                <w:sz w:val="21"/>
                <w:szCs w:val="21"/>
              </w:rPr>
              <w:t>较轻区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0" w:hRule="atLeast"/>
        </w:trPr>
        <w:tc>
          <w:tcPr>
            <w:tcW w:w="1313" w:type="dxa"/>
            <w:tcBorders>
              <w:top w:val="single" w:color="000000" w:sz="4" w:space="0"/>
              <w:left w:val="single" w:color="000000" w:sz="4" w:space="0"/>
              <w:bottom w:val="single" w:color="000000" w:sz="4" w:space="0"/>
              <w:right w:val="single" w:color="000000" w:sz="4" w:space="0"/>
            </w:tcBorders>
            <w:shd w:val="clear" w:color="auto" w:fill="auto"/>
          </w:tcPr>
          <w:p>
            <w:pPr>
              <w:pStyle w:val="40"/>
              <w:widowControl/>
              <w:rPr>
                <w:rFonts w:hint="default"/>
                <w:b/>
                <w:sz w:val="27"/>
                <w:szCs w:val="27"/>
              </w:rPr>
            </w:pPr>
          </w:p>
          <w:p>
            <w:pPr>
              <w:pStyle w:val="40"/>
              <w:widowControl/>
              <w:spacing w:line="283" w:lineRule="auto"/>
              <w:ind w:left="235" w:right="227"/>
              <w:rPr>
                <w:rFonts w:hint="default"/>
                <w:sz w:val="21"/>
                <w:szCs w:val="21"/>
              </w:rPr>
            </w:pPr>
            <w:r>
              <w:rPr>
                <w:rFonts w:cs="宋体"/>
                <w:sz w:val="21"/>
                <w:szCs w:val="21"/>
              </w:rPr>
              <w:t>评估区内其余地区</w:t>
            </w:r>
          </w:p>
        </w:tc>
        <w:tc>
          <w:tcPr>
            <w:tcW w:w="1265"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spacing w:before="1"/>
              <w:ind w:left="317"/>
              <w:rPr>
                <w:rFonts w:hint="default"/>
                <w:sz w:val="21"/>
                <w:szCs w:val="21"/>
              </w:rPr>
            </w:pPr>
            <w:r>
              <w:rPr>
                <w:rFonts w:cs="宋体"/>
                <w:sz w:val="21"/>
                <w:szCs w:val="21"/>
              </w:rPr>
              <w:t>0.7818</w:t>
            </w:r>
          </w:p>
        </w:tc>
        <w:tc>
          <w:tcPr>
            <w:tcW w:w="2057" w:type="dxa"/>
            <w:gridSpan w:val="2"/>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spacing w:before="1"/>
              <w:ind w:left="292"/>
              <w:rPr>
                <w:rFonts w:hint="default"/>
                <w:sz w:val="21"/>
                <w:szCs w:val="21"/>
              </w:rPr>
            </w:pPr>
            <w:r>
              <w:rPr>
                <w:rFonts w:cs="宋体"/>
                <w:sz w:val="21"/>
                <w:szCs w:val="21"/>
              </w:rPr>
              <w:t>地质灾害不发育</w:t>
            </w:r>
          </w:p>
        </w:tc>
        <w:tc>
          <w:tcPr>
            <w:tcW w:w="2483"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spacing w:before="1"/>
              <w:ind w:left="107"/>
              <w:rPr>
                <w:rFonts w:hint="default"/>
                <w:sz w:val="21"/>
                <w:szCs w:val="21"/>
              </w:rPr>
            </w:pPr>
            <w:r>
              <w:rPr>
                <w:rFonts w:cs="宋体"/>
                <w:sz w:val="21"/>
                <w:szCs w:val="21"/>
              </w:rPr>
              <w:t>对土地资源几乎无影响。</w:t>
            </w:r>
          </w:p>
        </w:tc>
        <w:tc>
          <w:tcPr>
            <w:tcW w:w="2710"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spacing w:before="1"/>
              <w:ind w:left="526"/>
              <w:rPr>
                <w:rFonts w:hint="default"/>
                <w:sz w:val="21"/>
                <w:szCs w:val="21"/>
              </w:rPr>
            </w:pPr>
            <w:r>
              <w:rPr>
                <w:rFonts w:cs="宋体"/>
                <w:sz w:val="21"/>
                <w:szCs w:val="21"/>
              </w:rPr>
              <w:t>对水资源几乎无影响。</w:t>
            </w:r>
          </w:p>
        </w:tc>
        <w:tc>
          <w:tcPr>
            <w:tcW w:w="2339"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0"/>
                <w:szCs w:val="20"/>
              </w:rPr>
            </w:pPr>
          </w:p>
          <w:p>
            <w:pPr>
              <w:pStyle w:val="40"/>
              <w:widowControl/>
              <w:spacing w:before="4"/>
              <w:rPr>
                <w:rFonts w:hint="default"/>
                <w:b/>
                <w:sz w:val="19"/>
                <w:szCs w:val="19"/>
              </w:rPr>
            </w:pPr>
          </w:p>
          <w:p>
            <w:pPr>
              <w:pStyle w:val="40"/>
              <w:widowControl/>
              <w:spacing w:before="1"/>
              <w:ind w:left="88" w:right="100"/>
              <w:jc w:val="center"/>
              <w:rPr>
                <w:rFonts w:hint="default"/>
                <w:sz w:val="21"/>
                <w:szCs w:val="21"/>
              </w:rPr>
            </w:pPr>
            <w:r>
              <w:rPr>
                <w:rFonts w:cs="宋体"/>
                <w:sz w:val="21"/>
                <w:szCs w:val="21"/>
              </w:rPr>
              <w:t>对水环境几乎无影响。</w:t>
            </w:r>
          </w:p>
        </w:tc>
        <w:tc>
          <w:tcPr>
            <w:tcW w:w="720" w:type="dxa"/>
            <w:tcBorders>
              <w:top w:val="single" w:color="000000" w:sz="4" w:space="0"/>
              <w:left w:val="nil"/>
              <w:bottom w:val="single" w:color="000000" w:sz="4" w:space="0"/>
              <w:right w:val="single" w:color="000000" w:sz="4" w:space="0"/>
            </w:tcBorders>
            <w:shd w:val="clear" w:color="auto" w:fill="auto"/>
          </w:tcPr>
          <w:p>
            <w:pPr>
              <w:pStyle w:val="40"/>
              <w:widowControl/>
              <w:rPr>
                <w:rFonts w:hint="default"/>
                <w:b/>
                <w:sz w:val="27"/>
                <w:szCs w:val="27"/>
              </w:rPr>
            </w:pPr>
          </w:p>
          <w:p>
            <w:pPr>
              <w:pStyle w:val="40"/>
              <w:widowControl/>
              <w:spacing w:line="283" w:lineRule="auto"/>
              <w:ind w:left="150" w:right="139"/>
              <w:rPr>
                <w:rFonts w:hint="default"/>
                <w:sz w:val="21"/>
                <w:szCs w:val="21"/>
              </w:rPr>
            </w:pPr>
            <w:r>
              <w:rPr>
                <w:rFonts w:cs="宋体"/>
                <w:sz w:val="21"/>
                <w:szCs w:val="21"/>
              </w:rPr>
              <w:t>无需治理</w:t>
            </w:r>
          </w:p>
        </w:tc>
        <w:tc>
          <w:tcPr>
            <w:tcW w:w="955" w:type="dxa"/>
            <w:tcBorders>
              <w:top w:val="single" w:color="000000" w:sz="4" w:space="0"/>
              <w:left w:val="nil"/>
              <w:bottom w:val="single" w:color="000000" w:sz="4" w:space="0"/>
              <w:right w:val="single" w:color="000000" w:sz="4" w:space="0"/>
            </w:tcBorders>
            <w:shd w:val="clear" w:color="auto" w:fill="auto"/>
          </w:tcPr>
          <w:p>
            <w:pPr>
              <w:pStyle w:val="40"/>
              <w:widowControl/>
              <w:spacing w:before="6"/>
              <w:rPr>
                <w:rFonts w:hint="default"/>
                <w:b/>
                <w:sz w:val="14"/>
                <w:szCs w:val="14"/>
              </w:rPr>
            </w:pPr>
          </w:p>
          <w:p>
            <w:pPr>
              <w:pStyle w:val="40"/>
              <w:widowControl/>
              <w:spacing w:line="283" w:lineRule="auto"/>
              <w:ind w:left="162" w:right="151"/>
              <w:jc w:val="both"/>
              <w:rPr>
                <w:rFonts w:hint="default"/>
                <w:sz w:val="21"/>
                <w:szCs w:val="21"/>
              </w:rPr>
            </w:pPr>
            <w:r>
              <w:rPr>
                <w:rFonts w:cs="宋体"/>
                <w:sz w:val="21"/>
                <w:szCs w:val="21"/>
              </w:rPr>
              <w:t>评估区内其余地区</w:t>
            </w:r>
          </w:p>
        </w:tc>
      </w:tr>
    </w:tbl>
    <w:p>
      <w:pPr>
        <w:spacing w:before="67"/>
        <w:ind w:left="5532"/>
        <w:rPr>
          <w:b/>
          <w:sz w:val="21"/>
          <w:szCs w:val="21"/>
          <w:lang w:val="en-US" w:bidi="ar"/>
        </w:rPr>
        <w:sectPr>
          <w:pgSz w:w="16840" w:h="11910" w:orient="landscape"/>
          <w:pgMar w:top="1378" w:right="1361" w:bottom="1503" w:left="1400" w:header="851" w:footer="992" w:gutter="0"/>
          <w:cols w:space="425" w:num="1"/>
          <w:docGrid w:type="linesAndChars" w:linePitch="312" w:charSpace="0"/>
        </w:sectPr>
      </w:pPr>
      <w:r>
        <w:rPr>
          <w:rFonts w:hint="eastAsia"/>
          <w:b/>
          <w:sz w:val="24"/>
          <w:szCs w:val="24"/>
          <w:lang w:val="en-US" w:bidi="ar"/>
        </w:rPr>
        <w:t>矿山环境影响预测评估表</w:t>
      </w:r>
      <w:r>
        <w:rPr>
          <w:rFonts w:hint="eastAsia"/>
          <w:b/>
          <w:sz w:val="24"/>
          <w:szCs w:val="24"/>
          <w:lang w:val="en-US" w:bidi="ar"/>
        </w:rPr>
        <w:tab/>
      </w:r>
      <w:r>
        <w:rPr>
          <w:rFonts w:hint="eastAsia"/>
          <w:b/>
          <w:sz w:val="21"/>
          <w:szCs w:val="21"/>
          <w:lang w:val="en-US" w:bidi="ar"/>
        </w:rPr>
        <w:t>表</w:t>
      </w:r>
      <w:r>
        <w:rPr>
          <w:rFonts w:hint="eastAsia"/>
          <w:b/>
          <w:spacing w:val="-52"/>
          <w:sz w:val="21"/>
          <w:szCs w:val="21"/>
          <w:lang w:val="en-US" w:bidi="ar"/>
        </w:rPr>
        <w:t xml:space="preserve"> </w:t>
      </w:r>
      <w:r>
        <w:rPr>
          <w:rFonts w:hint="eastAsia"/>
          <w:b/>
          <w:sz w:val="21"/>
          <w:szCs w:val="21"/>
          <w:lang w:val="en-US" w:bidi="ar"/>
        </w:rPr>
        <w:t>3-6</w:t>
      </w:r>
    </w:p>
    <w:p>
      <w:pPr>
        <w:pStyle w:val="11"/>
        <w:spacing w:before="4"/>
        <w:rPr>
          <w:b/>
          <w:sz w:val="20"/>
          <w:szCs w:val="20"/>
        </w:rPr>
      </w:pPr>
      <w:r>
        <w:rPr>
          <w:rFonts w:hint="eastAsia"/>
          <w:b/>
          <w:sz w:val="12"/>
          <w:szCs w:val="12"/>
          <w:lang w:val="en-US" w:bidi="ar"/>
        </w:rPr>
        <w:t xml:space="preserve"> </w:t>
      </w:r>
    </w:p>
    <w:p>
      <w:pPr>
        <w:pStyle w:val="5"/>
        <w:widowControl/>
        <w:numPr>
          <w:ilvl w:val="2"/>
          <w:numId w:val="11"/>
        </w:numPr>
        <w:spacing w:before="67"/>
        <w:rPr>
          <w:rFonts w:hint="default" w:cs="宋体"/>
        </w:rPr>
      </w:pPr>
      <w:r>
        <w:rPr>
          <w:rFonts w:cs="宋体"/>
        </w:rPr>
        <w:t>矿山开采引发的地质灾害预测评估</w:t>
      </w:r>
    </w:p>
    <w:p>
      <w:pPr>
        <w:pStyle w:val="11"/>
        <w:spacing w:line="620" w:lineRule="exact"/>
        <w:ind w:firstLine="482" w:firstLineChars="200"/>
        <w:jc w:val="both"/>
        <w:rPr>
          <w:b/>
          <w:szCs w:val="24"/>
          <w:lang w:val="en-US" w:bidi="ar"/>
        </w:rPr>
      </w:pPr>
      <w:r>
        <w:rPr>
          <w:rFonts w:hint="eastAsia"/>
          <w:b/>
          <w:szCs w:val="24"/>
          <w:lang w:val="en-US" w:bidi="ar"/>
        </w:rPr>
        <w:t xml:space="preserve"> 一、矿山开采引发地面塌陷影响范围预测</w:t>
      </w:r>
    </w:p>
    <w:p>
      <w:pPr>
        <w:pStyle w:val="11"/>
        <w:spacing w:line="620" w:lineRule="exact"/>
        <w:ind w:firstLine="480" w:firstLineChars="200"/>
        <w:jc w:val="both"/>
        <w:rPr>
          <w:szCs w:val="24"/>
        </w:rPr>
      </w:pPr>
      <w:r>
        <w:rPr>
          <w:rFonts w:hint="eastAsia"/>
          <w:szCs w:val="24"/>
          <w:lang w:val="en-US" w:bidi="ar"/>
        </w:rPr>
        <w:t>1、矿山开采引发地面塌陷影响范围预测</w:t>
      </w:r>
    </w:p>
    <w:p>
      <w:pPr>
        <w:pStyle w:val="11"/>
        <w:spacing w:line="620" w:lineRule="exact"/>
        <w:ind w:firstLine="480" w:firstLineChars="200"/>
        <w:jc w:val="both"/>
        <w:rPr>
          <w:szCs w:val="24"/>
        </w:rPr>
      </w:pPr>
      <w:r>
        <w:rPr>
          <w:rFonts w:hint="eastAsia"/>
          <w:szCs w:val="24"/>
          <w:lang w:val="en-US" w:bidi="ar"/>
        </w:rPr>
        <w:t>根据内蒙古自治区地质环境监测院提交了《</w:t>
      </w:r>
      <w:r>
        <w:rPr>
          <w:rFonts w:hint="eastAsia"/>
          <w:szCs w:val="24"/>
          <w:lang w:val="en-US" w:eastAsia="zh-CN" w:bidi="ar"/>
        </w:rPr>
        <w:t>内蒙古黄河工贸集团滴沥帮煤炭有限公司煤矿</w:t>
      </w:r>
      <w:r>
        <w:rPr>
          <w:rFonts w:hint="eastAsia"/>
          <w:szCs w:val="24"/>
          <w:lang w:val="en-US" w:bidi="ar"/>
        </w:rPr>
        <w:t>二矿地质灾害危险性评估说明书》；矿区范围内 8、9-1、9-2、10、16-1、16-2、16-3 和 17 中煤层全部开采完毕后，矿区大部分地区采深采厚比小于 30，且考虑到工业场地和办公区位于该区，将留设保安煤柱，因此预测地面塌陷面积为 0.6497km</w:t>
      </w:r>
      <w:r>
        <w:rPr>
          <w:rFonts w:hint="eastAsia"/>
          <w:position w:val="12"/>
          <w:sz w:val="12"/>
          <w:szCs w:val="12"/>
          <w:lang w:val="en-US" w:bidi="ar"/>
        </w:rPr>
        <w:t>2</w:t>
      </w:r>
      <w:r>
        <w:rPr>
          <w:rFonts w:hint="eastAsia"/>
          <w:szCs w:val="24"/>
          <w:lang w:val="en-US" w:bidi="ar"/>
        </w:rPr>
        <w:t>（见计算表 3-4）。</w:t>
      </w:r>
    </w:p>
    <w:p>
      <w:pPr>
        <w:spacing w:line="304" w:lineRule="exact"/>
        <w:jc w:val="center"/>
        <w:rPr>
          <w:b/>
          <w:sz w:val="21"/>
          <w:szCs w:val="21"/>
        </w:rPr>
      </w:pPr>
      <w:r>
        <w:rPr>
          <w:rFonts w:hint="eastAsia"/>
          <w:b/>
          <w:sz w:val="24"/>
          <w:szCs w:val="24"/>
          <w:lang w:val="en-US" w:bidi="ar"/>
        </w:rPr>
        <w:t>各煤层采深采厚计算表</w:t>
      </w:r>
      <w:r>
        <w:rPr>
          <w:rFonts w:hint="eastAsia"/>
          <w:b/>
          <w:sz w:val="24"/>
          <w:szCs w:val="24"/>
          <w:lang w:val="en-US" w:bidi="ar"/>
        </w:rPr>
        <w:tab/>
      </w:r>
      <w:r>
        <w:rPr>
          <w:rFonts w:hint="eastAsia"/>
          <w:b/>
          <w:sz w:val="21"/>
          <w:szCs w:val="21"/>
          <w:lang w:val="en-US" w:bidi="ar"/>
        </w:rPr>
        <w:t>表</w:t>
      </w:r>
      <w:r>
        <w:rPr>
          <w:rFonts w:hint="eastAsia"/>
          <w:b/>
          <w:spacing w:val="-52"/>
          <w:sz w:val="21"/>
          <w:szCs w:val="21"/>
          <w:lang w:val="en-US" w:bidi="ar"/>
        </w:rPr>
        <w:t xml:space="preserve"> </w:t>
      </w:r>
      <w:r>
        <w:rPr>
          <w:rFonts w:hint="eastAsia"/>
          <w:b/>
          <w:sz w:val="21"/>
          <w:szCs w:val="21"/>
          <w:lang w:val="en-US" w:bidi="ar"/>
        </w:rPr>
        <w:t>3-4</w:t>
      </w:r>
    </w:p>
    <w:p>
      <w:pPr>
        <w:pStyle w:val="11"/>
        <w:spacing w:before="4" w:after="1"/>
        <w:rPr>
          <w:b/>
          <w:sz w:val="12"/>
          <w:szCs w:val="12"/>
        </w:rPr>
      </w:pPr>
      <w:r>
        <w:rPr>
          <w:rFonts w:hint="eastAsia"/>
          <w:b/>
          <w:sz w:val="12"/>
          <w:szCs w:val="12"/>
          <w:lang w:val="en-US" w:bidi="ar"/>
        </w:rPr>
        <w:t xml:space="preserve"> </w:t>
      </w:r>
    </w:p>
    <w:tbl>
      <w:tblPr>
        <w:tblStyle w:val="12"/>
        <w:tblW w:w="9155" w:type="dxa"/>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9"/>
        <w:gridCol w:w="1180"/>
        <w:gridCol w:w="1419"/>
        <w:gridCol w:w="2047"/>
        <w:gridCol w:w="1570"/>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0"/>
              <w:widowControl/>
              <w:jc w:val="center"/>
              <w:rPr>
                <w:rFonts w:hint="default"/>
                <w:sz w:val="21"/>
                <w:szCs w:val="21"/>
              </w:rPr>
            </w:pPr>
            <w:r>
              <w:rPr>
                <w:rFonts w:cs="宋体"/>
                <w:sz w:val="21"/>
                <w:szCs w:val="21"/>
              </w:rPr>
              <w:t>计算方式</w:t>
            </w:r>
          </w:p>
        </w:tc>
        <w:tc>
          <w:tcPr>
            <w:tcW w:w="1180"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144"/>
              <w:rPr>
                <w:rFonts w:hint="default"/>
                <w:sz w:val="21"/>
                <w:szCs w:val="21"/>
              </w:rPr>
            </w:pPr>
            <w:r>
              <w:rPr>
                <w:rFonts w:cs="宋体"/>
                <w:sz w:val="21"/>
                <w:szCs w:val="21"/>
              </w:rPr>
              <w:t>煤层编号</w:t>
            </w:r>
          </w:p>
        </w:tc>
        <w:tc>
          <w:tcPr>
            <w:tcW w:w="1419"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108"/>
              <w:rPr>
                <w:rFonts w:hint="default"/>
                <w:sz w:val="21"/>
                <w:szCs w:val="21"/>
              </w:rPr>
            </w:pPr>
            <w:r>
              <w:rPr>
                <w:rFonts w:cs="宋体"/>
                <w:sz w:val="21"/>
                <w:szCs w:val="21"/>
              </w:rPr>
              <w:t>钻孔编号</w:t>
            </w:r>
          </w:p>
        </w:tc>
        <w:tc>
          <w:tcPr>
            <w:tcW w:w="2047"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348"/>
              <w:rPr>
                <w:rFonts w:hint="default"/>
                <w:sz w:val="21"/>
                <w:szCs w:val="21"/>
              </w:rPr>
            </w:pPr>
            <w:r>
              <w:rPr>
                <w:rFonts w:cs="宋体"/>
                <w:sz w:val="21"/>
                <w:szCs w:val="21"/>
              </w:rPr>
              <w:t>可采厚度（m）</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329"/>
              <w:rPr>
                <w:rFonts w:hint="default"/>
                <w:sz w:val="21"/>
                <w:szCs w:val="21"/>
              </w:rPr>
            </w:pPr>
            <w:r>
              <w:rPr>
                <w:rFonts w:cs="宋体"/>
                <w:sz w:val="21"/>
                <w:szCs w:val="21"/>
              </w:rPr>
              <w:t>采深（m）</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204" w:right="197"/>
              <w:jc w:val="center"/>
              <w:rPr>
                <w:rFonts w:hint="default"/>
                <w:sz w:val="21"/>
                <w:szCs w:val="21"/>
              </w:rPr>
            </w:pPr>
            <w:r>
              <w:rPr>
                <w:rFonts w:cs="宋体"/>
                <w:sz w:val="21"/>
                <w:szCs w:val="21"/>
              </w:rPr>
              <w:t>采深采厚比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369" w:type="dxa"/>
            <w:vMerge w:val="restart"/>
            <w:tcBorders>
              <w:top w:val="nil"/>
              <w:left w:val="single" w:color="000000" w:sz="4" w:space="0"/>
              <w:bottom w:val="nil"/>
              <w:right w:val="single" w:color="000000" w:sz="4" w:space="0"/>
            </w:tcBorders>
            <w:shd w:val="clear" w:color="auto" w:fill="auto"/>
            <w:vAlign w:val="center"/>
          </w:tcPr>
          <w:p>
            <w:pPr>
              <w:pStyle w:val="40"/>
              <w:widowControl/>
              <w:rPr>
                <w:rFonts w:hint="default" w:ascii="Times New Roman"/>
              </w:rPr>
            </w:pPr>
          </w:p>
        </w:tc>
        <w:tc>
          <w:tcPr>
            <w:tcW w:w="1180" w:type="dxa"/>
            <w:vMerge w:val="restart"/>
            <w:tcBorders>
              <w:top w:val="nil"/>
              <w:left w:val="nil"/>
              <w:bottom w:val="nil"/>
              <w:right w:val="single" w:color="000000" w:sz="4" w:space="0"/>
            </w:tcBorders>
            <w:shd w:val="clear" w:color="auto" w:fill="auto"/>
            <w:vAlign w:val="center"/>
          </w:tcPr>
          <w:p>
            <w:pPr>
              <w:pStyle w:val="40"/>
              <w:widowControl/>
              <w:spacing w:before="5"/>
              <w:rPr>
                <w:rFonts w:hint="default"/>
                <w:b/>
                <w:sz w:val="17"/>
                <w:szCs w:val="17"/>
              </w:rPr>
            </w:pPr>
          </w:p>
          <w:p>
            <w:pPr>
              <w:pStyle w:val="40"/>
              <w:widowControl/>
              <w:ind w:left="9"/>
              <w:jc w:val="center"/>
              <w:rPr>
                <w:rFonts w:hint="default"/>
                <w:sz w:val="21"/>
                <w:szCs w:val="21"/>
              </w:rPr>
            </w:pPr>
            <w:r>
              <w:rPr>
                <w:rFonts w:cs="宋体"/>
                <w:sz w:val="21"/>
                <w:szCs w:val="21"/>
              </w:rPr>
              <w:t>8</w:t>
            </w:r>
          </w:p>
        </w:tc>
        <w:tc>
          <w:tcPr>
            <w:tcW w:w="1419"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499" w:right="492"/>
              <w:jc w:val="center"/>
              <w:rPr>
                <w:rFonts w:hint="default"/>
                <w:sz w:val="21"/>
                <w:szCs w:val="21"/>
              </w:rPr>
            </w:pPr>
            <w:r>
              <w:rPr>
                <w:rFonts w:cs="宋体"/>
                <w:sz w:val="21"/>
                <w:szCs w:val="21"/>
              </w:rPr>
              <w:t>431</w:t>
            </w:r>
          </w:p>
        </w:tc>
        <w:tc>
          <w:tcPr>
            <w:tcW w:w="2047"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719" w:right="767"/>
              <w:jc w:val="center"/>
              <w:rPr>
                <w:rFonts w:hint="default"/>
                <w:sz w:val="21"/>
                <w:szCs w:val="21"/>
              </w:rPr>
            </w:pPr>
            <w:r>
              <w:rPr>
                <w:rFonts w:cs="宋体"/>
                <w:sz w:val="21"/>
                <w:szCs w:val="21"/>
              </w:rPr>
              <w:t>4.52</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422"/>
              <w:rPr>
                <w:rFonts w:hint="default"/>
                <w:sz w:val="21"/>
                <w:szCs w:val="21"/>
              </w:rPr>
            </w:pPr>
            <w:r>
              <w:rPr>
                <w:rFonts w:cs="宋体"/>
                <w:sz w:val="21"/>
                <w:szCs w:val="21"/>
              </w:rPr>
              <w:t>35.78</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ind w:left="185" w:right="197"/>
              <w:jc w:val="center"/>
              <w:rPr>
                <w:rFonts w:hint="default"/>
                <w:sz w:val="21"/>
                <w:szCs w:val="21"/>
              </w:rPr>
            </w:pPr>
            <w:r>
              <w:rPr>
                <w:rFonts w:cs="宋体"/>
                <w:sz w:val="21"/>
                <w:szCs w:val="21"/>
              </w:rPr>
              <w:t>7.92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continue"/>
            <w:tcBorders>
              <w:top w:val="nil"/>
              <w:left w:val="single" w:color="000000" w:sz="4" w:space="0"/>
              <w:bottom w:val="nil"/>
              <w:right w:val="single" w:color="000000" w:sz="4" w:space="0"/>
            </w:tcBorders>
            <w:shd w:val="clear" w:color="auto" w:fill="auto"/>
            <w:vAlign w:val="center"/>
          </w:tcPr>
          <w:p>
            <w:pPr>
              <w:rPr>
                <w:rFonts w:ascii="Times New Roman" w:hAnsi="Times New Roman" w:cs="Times New Roman"/>
                <w:sz w:val="20"/>
                <w:szCs w:val="20"/>
              </w:rPr>
            </w:pPr>
          </w:p>
        </w:tc>
        <w:tc>
          <w:tcPr>
            <w:tcW w:w="1180" w:type="dxa"/>
            <w:vMerge w:val="continue"/>
            <w:tcBorders>
              <w:top w:val="nil"/>
              <w:left w:val="nil"/>
              <w:bottom w:val="nil"/>
              <w:right w:val="single" w:color="000000" w:sz="4" w:space="0"/>
            </w:tcBorders>
            <w:shd w:val="clear" w:color="auto" w:fill="auto"/>
            <w:vAlign w:val="center"/>
          </w:tcPr>
          <w:p>
            <w:pPr>
              <w:rPr>
                <w:rFonts w:ascii="Times New Roman" w:hAnsi="Times New Roman" w:cs="Times New Roman"/>
                <w:sz w:val="20"/>
                <w:szCs w:val="20"/>
              </w:rPr>
            </w:pPr>
          </w:p>
        </w:tc>
        <w:tc>
          <w:tcPr>
            <w:tcW w:w="1419"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499" w:right="492"/>
              <w:jc w:val="center"/>
              <w:rPr>
                <w:rFonts w:hint="default"/>
                <w:sz w:val="21"/>
                <w:szCs w:val="21"/>
              </w:rPr>
            </w:pPr>
            <w:r>
              <w:rPr>
                <w:rFonts w:cs="宋体"/>
                <w:sz w:val="21"/>
                <w:szCs w:val="21"/>
              </w:rPr>
              <w:t>419</w:t>
            </w:r>
          </w:p>
        </w:tc>
        <w:tc>
          <w:tcPr>
            <w:tcW w:w="2047"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719" w:right="767"/>
              <w:jc w:val="center"/>
              <w:rPr>
                <w:rFonts w:hint="default"/>
                <w:sz w:val="21"/>
                <w:szCs w:val="21"/>
              </w:rPr>
            </w:pPr>
            <w:r>
              <w:rPr>
                <w:rFonts w:cs="宋体"/>
                <w:sz w:val="21"/>
                <w:szCs w:val="21"/>
              </w:rPr>
              <w:t>3.53</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422"/>
              <w:rPr>
                <w:rFonts w:hint="default"/>
                <w:sz w:val="21"/>
                <w:szCs w:val="21"/>
              </w:rPr>
            </w:pPr>
            <w:r>
              <w:rPr>
                <w:rFonts w:cs="宋体"/>
                <w:sz w:val="21"/>
                <w:szCs w:val="21"/>
              </w:rPr>
              <w:t>236.24</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527"/>
              <w:rPr>
                <w:rFonts w:hint="default"/>
                <w:sz w:val="21"/>
                <w:szCs w:val="21"/>
              </w:rPr>
            </w:pPr>
            <w:r>
              <w:rPr>
                <w:rFonts w:cs="宋体"/>
                <w:sz w:val="21"/>
                <w:szCs w:val="21"/>
              </w:rPr>
              <w:t>66.92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restart"/>
            <w:tcBorders>
              <w:top w:val="nil"/>
              <w:left w:val="single" w:color="000000" w:sz="4" w:space="0"/>
              <w:bottom w:val="nil"/>
              <w:right w:val="single" w:color="000000" w:sz="4" w:space="0"/>
            </w:tcBorders>
            <w:shd w:val="clear" w:color="auto" w:fill="auto"/>
            <w:vAlign w:val="center"/>
          </w:tcPr>
          <w:p>
            <w:pPr>
              <w:pStyle w:val="40"/>
              <w:widowControl/>
              <w:spacing w:before="66"/>
              <w:jc w:val="center"/>
              <w:rPr>
                <w:rFonts w:hint="default"/>
                <w:sz w:val="21"/>
                <w:szCs w:val="21"/>
              </w:rPr>
            </w:pPr>
            <w:r>
              <w:rPr>
                <w:rFonts w:cs="宋体"/>
                <w:sz w:val="21"/>
                <w:szCs w:val="21"/>
              </w:rPr>
              <w:t>多层合并</w:t>
            </w:r>
          </w:p>
        </w:tc>
        <w:tc>
          <w:tcPr>
            <w:tcW w:w="1180" w:type="dxa"/>
            <w:vMerge w:val="restart"/>
            <w:tcBorders>
              <w:top w:val="nil"/>
              <w:left w:val="nil"/>
              <w:bottom w:val="nil"/>
              <w:right w:val="single" w:color="000000" w:sz="4" w:space="0"/>
            </w:tcBorders>
            <w:shd w:val="clear" w:color="auto" w:fill="auto"/>
            <w:vAlign w:val="center"/>
          </w:tcPr>
          <w:p>
            <w:pPr>
              <w:pStyle w:val="40"/>
              <w:widowControl/>
              <w:spacing w:before="64"/>
              <w:ind w:left="386" w:right="377"/>
              <w:jc w:val="center"/>
              <w:rPr>
                <w:rFonts w:hint="default"/>
                <w:sz w:val="21"/>
                <w:szCs w:val="21"/>
              </w:rPr>
            </w:pPr>
            <w:r>
              <w:rPr>
                <w:rFonts w:cs="宋体"/>
                <w:sz w:val="21"/>
                <w:szCs w:val="21"/>
              </w:rPr>
              <w:t>9-1</w:t>
            </w:r>
          </w:p>
        </w:tc>
        <w:tc>
          <w:tcPr>
            <w:tcW w:w="1419"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2047"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continue"/>
            <w:tcBorders>
              <w:top w:val="nil"/>
              <w:left w:val="single" w:color="000000" w:sz="4" w:space="0"/>
              <w:bottom w:val="nil"/>
              <w:right w:val="single" w:color="000000" w:sz="4" w:space="0"/>
            </w:tcBorders>
            <w:shd w:val="clear" w:color="auto" w:fill="auto"/>
            <w:vAlign w:val="center"/>
          </w:tcPr>
          <w:p>
            <w:pPr>
              <w:jc w:val="center"/>
              <w:rPr>
                <w:rFonts w:ascii="Times New Roman" w:hAnsi="Times New Roman" w:cs="Times New Roman"/>
                <w:sz w:val="20"/>
                <w:szCs w:val="20"/>
              </w:rPr>
            </w:pPr>
          </w:p>
        </w:tc>
        <w:tc>
          <w:tcPr>
            <w:tcW w:w="1180" w:type="dxa"/>
            <w:vMerge w:val="continue"/>
            <w:tcBorders>
              <w:top w:val="nil"/>
              <w:left w:val="nil"/>
              <w:bottom w:val="nil"/>
              <w:right w:val="single" w:color="000000" w:sz="4" w:space="0"/>
            </w:tcBorders>
            <w:shd w:val="clear" w:color="auto" w:fill="auto"/>
            <w:vAlign w:val="center"/>
          </w:tcPr>
          <w:p>
            <w:pPr>
              <w:rPr>
                <w:rFonts w:ascii="Times New Roman" w:hAnsi="Times New Roman" w:cs="Times New Roman"/>
                <w:sz w:val="20"/>
                <w:szCs w:val="20"/>
              </w:rPr>
            </w:pPr>
          </w:p>
        </w:tc>
        <w:tc>
          <w:tcPr>
            <w:tcW w:w="1419" w:type="dxa"/>
            <w:vMerge w:val="restart"/>
            <w:tcBorders>
              <w:top w:val="nil"/>
              <w:left w:val="nil"/>
              <w:bottom w:val="single" w:color="000000" w:sz="4" w:space="0"/>
              <w:right w:val="single" w:color="000000" w:sz="4" w:space="0"/>
            </w:tcBorders>
            <w:shd w:val="clear" w:color="auto" w:fill="auto"/>
            <w:vAlign w:val="center"/>
          </w:tcPr>
          <w:p>
            <w:pPr>
              <w:pStyle w:val="40"/>
              <w:widowControl/>
              <w:ind w:left="499" w:right="492"/>
              <w:jc w:val="center"/>
              <w:rPr>
                <w:rFonts w:hint="default"/>
                <w:sz w:val="21"/>
                <w:szCs w:val="21"/>
              </w:rPr>
            </w:pPr>
            <w:r>
              <w:rPr>
                <w:rFonts w:cs="宋体"/>
                <w:sz w:val="21"/>
                <w:szCs w:val="21"/>
              </w:rPr>
              <w:t>415</w:t>
            </w:r>
          </w:p>
        </w:tc>
        <w:tc>
          <w:tcPr>
            <w:tcW w:w="2047" w:type="dxa"/>
            <w:vMerge w:val="restart"/>
            <w:tcBorders>
              <w:top w:val="nil"/>
              <w:left w:val="nil"/>
              <w:bottom w:val="single" w:color="000000" w:sz="4" w:space="0"/>
              <w:right w:val="single" w:color="000000" w:sz="4" w:space="0"/>
            </w:tcBorders>
            <w:shd w:val="clear" w:color="auto" w:fill="auto"/>
            <w:vAlign w:val="center"/>
          </w:tcPr>
          <w:p>
            <w:pPr>
              <w:pStyle w:val="40"/>
              <w:widowControl/>
              <w:ind w:left="719" w:right="767"/>
              <w:jc w:val="center"/>
              <w:rPr>
                <w:rFonts w:hint="default"/>
                <w:sz w:val="21"/>
                <w:szCs w:val="21"/>
              </w:rPr>
            </w:pPr>
            <w:r>
              <w:rPr>
                <w:rFonts w:cs="宋体"/>
                <w:sz w:val="21"/>
                <w:szCs w:val="21"/>
              </w:rPr>
              <w:t>6.70</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ind w:left="422"/>
              <w:rPr>
                <w:rFonts w:hint="default"/>
                <w:sz w:val="21"/>
                <w:szCs w:val="21"/>
              </w:rPr>
            </w:pPr>
            <w:r>
              <w:rPr>
                <w:rFonts w:cs="宋体"/>
                <w:sz w:val="21"/>
                <w:szCs w:val="21"/>
              </w:rPr>
              <w:t>200.07</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ind w:left="527"/>
              <w:rPr>
                <w:rFonts w:hint="default"/>
                <w:sz w:val="21"/>
                <w:szCs w:val="21"/>
              </w:rPr>
            </w:pPr>
            <w:r>
              <w:rPr>
                <w:rFonts w:cs="宋体"/>
                <w:sz w:val="21"/>
                <w:szCs w:val="21"/>
              </w:rPr>
              <w:t>29.86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restart"/>
            <w:tcBorders>
              <w:top w:val="nil"/>
              <w:left w:val="single" w:color="000000" w:sz="4" w:space="0"/>
              <w:bottom w:val="nil"/>
              <w:right w:val="single" w:color="000000" w:sz="4" w:space="0"/>
            </w:tcBorders>
            <w:shd w:val="clear" w:color="auto" w:fill="auto"/>
            <w:vAlign w:val="center"/>
          </w:tcPr>
          <w:p>
            <w:pPr>
              <w:pStyle w:val="40"/>
              <w:widowControl/>
              <w:spacing w:before="64"/>
              <w:jc w:val="center"/>
              <w:rPr>
                <w:rFonts w:hint="default"/>
                <w:sz w:val="21"/>
                <w:szCs w:val="21"/>
              </w:rPr>
            </w:pPr>
            <w:r>
              <w:rPr>
                <w:rFonts w:cs="宋体"/>
                <w:sz w:val="21"/>
                <w:szCs w:val="21"/>
              </w:rPr>
              <w:t>开采计算</w:t>
            </w:r>
          </w:p>
        </w:tc>
        <w:tc>
          <w:tcPr>
            <w:tcW w:w="1180" w:type="dxa"/>
            <w:vMerge w:val="restart"/>
            <w:tcBorders>
              <w:top w:val="nil"/>
              <w:left w:val="nil"/>
              <w:bottom w:val="nil"/>
              <w:right w:val="single" w:color="000000" w:sz="4" w:space="0"/>
            </w:tcBorders>
            <w:shd w:val="clear" w:color="auto" w:fill="auto"/>
            <w:vAlign w:val="center"/>
          </w:tcPr>
          <w:p>
            <w:pPr>
              <w:pStyle w:val="40"/>
              <w:widowControl/>
              <w:spacing w:before="64"/>
              <w:ind w:left="386" w:right="377"/>
              <w:jc w:val="center"/>
              <w:rPr>
                <w:rFonts w:hint="default"/>
                <w:sz w:val="21"/>
                <w:szCs w:val="21"/>
              </w:rPr>
            </w:pPr>
            <w:r>
              <w:rPr>
                <w:rFonts w:cs="宋体"/>
                <w:sz w:val="21"/>
                <w:szCs w:val="21"/>
              </w:rPr>
              <w:t>9-2</w:t>
            </w:r>
          </w:p>
        </w:tc>
        <w:tc>
          <w:tcPr>
            <w:tcW w:w="1419"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2047"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continue"/>
            <w:tcBorders>
              <w:top w:val="nil"/>
              <w:left w:val="single" w:color="000000" w:sz="4" w:space="0"/>
              <w:bottom w:val="nil"/>
              <w:right w:val="single" w:color="000000" w:sz="4" w:space="0"/>
            </w:tcBorders>
            <w:shd w:val="clear" w:color="auto" w:fill="auto"/>
            <w:vAlign w:val="center"/>
          </w:tcPr>
          <w:p>
            <w:pPr>
              <w:rPr>
                <w:rFonts w:ascii="Times New Roman" w:hAnsi="Times New Roman" w:cs="Times New Roman"/>
                <w:sz w:val="20"/>
                <w:szCs w:val="20"/>
              </w:rPr>
            </w:pPr>
          </w:p>
        </w:tc>
        <w:tc>
          <w:tcPr>
            <w:tcW w:w="1180" w:type="dxa"/>
            <w:vMerge w:val="continue"/>
            <w:tcBorders>
              <w:top w:val="nil"/>
              <w:left w:val="nil"/>
              <w:bottom w:val="nil"/>
              <w:right w:val="single" w:color="000000" w:sz="4" w:space="0"/>
            </w:tcBorders>
            <w:shd w:val="clear" w:color="auto" w:fill="auto"/>
            <w:vAlign w:val="center"/>
          </w:tcPr>
          <w:p>
            <w:pPr>
              <w:rPr>
                <w:rFonts w:ascii="Times New Roman" w:hAnsi="Times New Roman" w:cs="Times New Roman"/>
                <w:sz w:val="20"/>
                <w:szCs w:val="20"/>
              </w:rPr>
            </w:pPr>
          </w:p>
        </w:tc>
        <w:tc>
          <w:tcPr>
            <w:tcW w:w="1419" w:type="dxa"/>
            <w:vMerge w:val="restart"/>
            <w:tcBorders>
              <w:top w:val="nil"/>
              <w:left w:val="nil"/>
              <w:bottom w:val="single" w:color="000000" w:sz="4" w:space="0"/>
              <w:right w:val="single" w:color="000000" w:sz="4" w:space="0"/>
            </w:tcBorders>
            <w:shd w:val="clear" w:color="auto" w:fill="auto"/>
            <w:vAlign w:val="center"/>
          </w:tcPr>
          <w:p>
            <w:pPr>
              <w:pStyle w:val="40"/>
              <w:widowControl/>
              <w:spacing w:line="268" w:lineRule="exact"/>
              <w:ind w:left="499" w:right="492"/>
              <w:jc w:val="center"/>
              <w:rPr>
                <w:rFonts w:hint="default"/>
                <w:sz w:val="21"/>
                <w:szCs w:val="21"/>
              </w:rPr>
            </w:pPr>
            <w:r>
              <w:rPr>
                <w:rFonts w:cs="宋体"/>
                <w:sz w:val="21"/>
                <w:szCs w:val="21"/>
              </w:rPr>
              <w:t>418</w:t>
            </w:r>
          </w:p>
        </w:tc>
        <w:tc>
          <w:tcPr>
            <w:tcW w:w="2047" w:type="dxa"/>
            <w:vMerge w:val="restart"/>
            <w:tcBorders>
              <w:top w:val="nil"/>
              <w:left w:val="nil"/>
              <w:bottom w:val="single" w:color="000000" w:sz="4" w:space="0"/>
              <w:right w:val="single" w:color="000000" w:sz="4" w:space="0"/>
            </w:tcBorders>
            <w:shd w:val="clear" w:color="auto" w:fill="auto"/>
            <w:vAlign w:val="center"/>
          </w:tcPr>
          <w:p>
            <w:pPr>
              <w:pStyle w:val="40"/>
              <w:widowControl/>
              <w:spacing w:line="268" w:lineRule="exact"/>
              <w:ind w:left="719" w:right="767"/>
              <w:jc w:val="center"/>
              <w:rPr>
                <w:rFonts w:hint="default"/>
                <w:sz w:val="21"/>
                <w:szCs w:val="21"/>
              </w:rPr>
            </w:pPr>
            <w:r>
              <w:rPr>
                <w:rFonts w:cs="宋体"/>
                <w:sz w:val="21"/>
                <w:szCs w:val="21"/>
              </w:rPr>
              <w:t>7.91</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spacing w:line="268" w:lineRule="exact"/>
              <w:ind w:left="422"/>
              <w:rPr>
                <w:rFonts w:hint="default"/>
                <w:sz w:val="21"/>
                <w:szCs w:val="21"/>
              </w:rPr>
            </w:pPr>
            <w:r>
              <w:rPr>
                <w:rFonts w:cs="宋体"/>
                <w:sz w:val="21"/>
                <w:szCs w:val="21"/>
              </w:rPr>
              <w:t>121.41</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spacing w:line="268" w:lineRule="exact"/>
              <w:ind w:left="527"/>
              <w:rPr>
                <w:rFonts w:hint="default"/>
                <w:sz w:val="21"/>
                <w:szCs w:val="21"/>
              </w:rPr>
            </w:pPr>
            <w:r>
              <w:rPr>
                <w:rFonts w:cs="宋体"/>
                <w:sz w:val="21"/>
                <w:szCs w:val="21"/>
              </w:rPr>
              <w:t>15.35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restart"/>
            <w:tcBorders>
              <w:top w:val="nil"/>
              <w:left w:val="single" w:color="000000" w:sz="4" w:space="0"/>
              <w:bottom w:val="single" w:color="000000" w:sz="4" w:space="0"/>
              <w:right w:val="single" w:color="000000" w:sz="4" w:space="0"/>
            </w:tcBorders>
            <w:shd w:val="clear" w:color="auto" w:fill="auto"/>
            <w:vAlign w:val="center"/>
          </w:tcPr>
          <w:p>
            <w:pPr>
              <w:pStyle w:val="40"/>
              <w:widowControl/>
              <w:rPr>
                <w:rFonts w:hint="default" w:ascii="Times New Roman"/>
              </w:rPr>
            </w:pPr>
          </w:p>
        </w:tc>
        <w:tc>
          <w:tcPr>
            <w:tcW w:w="1180"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64"/>
              <w:ind w:left="386" w:right="377"/>
              <w:jc w:val="center"/>
              <w:rPr>
                <w:rFonts w:hint="default"/>
                <w:sz w:val="21"/>
                <w:szCs w:val="21"/>
              </w:rPr>
            </w:pPr>
            <w:r>
              <w:rPr>
                <w:rFonts w:cs="宋体"/>
                <w:sz w:val="21"/>
                <w:szCs w:val="21"/>
              </w:rPr>
              <w:t>10</w:t>
            </w:r>
          </w:p>
        </w:tc>
        <w:tc>
          <w:tcPr>
            <w:tcW w:w="1419"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2047"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369"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18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419"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499" w:right="492"/>
              <w:jc w:val="center"/>
              <w:rPr>
                <w:rFonts w:hint="default"/>
                <w:sz w:val="21"/>
                <w:szCs w:val="21"/>
              </w:rPr>
            </w:pPr>
            <w:r>
              <w:rPr>
                <w:rFonts w:cs="宋体"/>
                <w:sz w:val="21"/>
                <w:szCs w:val="21"/>
              </w:rPr>
              <w:t>422</w:t>
            </w:r>
          </w:p>
        </w:tc>
        <w:tc>
          <w:tcPr>
            <w:tcW w:w="2047"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719" w:right="767"/>
              <w:jc w:val="center"/>
              <w:rPr>
                <w:rFonts w:hint="default"/>
                <w:sz w:val="21"/>
                <w:szCs w:val="21"/>
              </w:rPr>
            </w:pPr>
            <w:r>
              <w:rPr>
                <w:rFonts w:cs="宋体"/>
                <w:sz w:val="21"/>
                <w:szCs w:val="21"/>
              </w:rPr>
              <w:t>4.40</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422"/>
              <w:rPr>
                <w:rFonts w:hint="default"/>
                <w:sz w:val="21"/>
                <w:szCs w:val="21"/>
              </w:rPr>
            </w:pPr>
            <w:r>
              <w:rPr>
                <w:rFonts w:cs="宋体"/>
                <w:sz w:val="21"/>
                <w:szCs w:val="21"/>
              </w:rPr>
              <w:t>278.66</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204" w:right="116"/>
              <w:jc w:val="center"/>
              <w:rPr>
                <w:rFonts w:hint="default"/>
                <w:sz w:val="21"/>
                <w:szCs w:val="21"/>
              </w:rPr>
            </w:pPr>
            <w:r>
              <w:rPr>
                <w:rFonts w:cs="宋体"/>
                <w:sz w:val="21"/>
                <w:szCs w:val="21"/>
              </w:rPr>
              <w:t>63.33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369" w:type="dxa"/>
            <w:vMerge w:val="restart"/>
            <w:tcBorders>
              <w:top w:val="nil"/>
              <w:left w:val="single" w:color="000000" w:sz="4" w:space="0"/>
              <w:bottom w:val="nil"/>
              <w:right w:val="single" w:color="000000" w:sz="4" w:space="0"/>
            </w:tcBorders>
            <w:shd w:val="clear" w:color="auto" w:fill="auto"/>
            <w:vAlign w:val="center"/>
          </w:tcPr>
          <w:p>
            <w:pPr>
              <w:pStyle w:val="40"/>
              <w:widowControl/>
              <w:rPr>
                <w:rFonts w:hint="default" w:ascii="Times New Roman"/>
              </w:rPr>
            </w:pPr>
          </w:p>
        </w:tc>
        <w:tc>
          <w:tcPr>
            <w:tcW w:w="1180" w:type="dxa"/>
            <w:vMerge w:val="restart"/>
            <w:tcBorders>
              <w:top w:val="nil"/>
              <w:left w:val="nil"/>
              <w:bottom w:val="nil"/>
              <w:right w:val="single" w:color="000000" w:sz="4" w:space="0"/>
            </w:tcBorders>
            <w:shd w:val="clear" w:color="auto" w:fill="auto"/>
            <w:vAlign w:val="center"/>
          </w:tcPr>
          <w:p>
            <w:pPr>
              <w:pStyle w:val="40"/>
              <w:widowControl/>
              <w:spacing w:before="5"/>
              <w:rPr>
                <w:rFonts w:hint="default"/>
                <w:b/>
                <w:sz w:val="17"/>
                <w:szCs w:val="17"/>
              </w:rPr>
            </w:pPr>
          </w:p>
          <w:p>
            <w:pPr>
              <w:pStyle w:val="40"/>
              <w:widowControl/>
              <w:ind w:left="353"/>
              <w:rPr>
                <w:rFonts w:hint="default"/>
                <w:sz w:val="21"/>
                <w:szCs w:val="21"/>
              </w:rPr>
            </w:pPr>
            <w:r>
              <w:rPr>
                <w:rFonts w:cs="宋体"/>
                <w:sz w:val="21"/>
                <w:szCs w:val="21"/>
              </w:rPr>
              <w:t>16-1</w:t>
            </w:r>
          </w:p>
        </w:tc>
        <w:tc>
          <w:tcPr>
            <w:tcW w:w="1419"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line="269" w:lineRule="exact"/>
              <w:ind w:left="499" w:right="492"/>
              <w:jc w:val="center"/>
              <w:rPr>
                <w:rFonts w:hint="default"/>
                <w:sz w:val="21"/>
                <w:szCs w:val="21"/>
              </w:rPr>
            </w:pPr>
            <w:r>
              <w:rPr>
                <w:rFonts w:cs="宋体"/>
                <w:sz w:val="21"/>
                <w:szCs w:val="21"/>
              </w:rPr>
              <w:t>431</w:t>
            </w:r>
          </w:p>
        </w:tc>
        <w:tc>
          <w:tcPr>
            <w:tcW w:w="2047"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line="269" w:lineRule="exact"/>
              <w:ind w:left="719" w:right="767"/>
              <w:jc w:val="center"/>
              <w:rPr>
                <w:rFonts w:hint="default"/>
                <w:sz w:val="21"/>
                <w:szCs w:val="21"/>
              </w:rPr>
            </w:pPr>
            <w:r>
              <w:rPr>
                <w:rFonts w:cs="宋体"/>
                <w:sz w:val="21"/>
                <w:szCs w:val="21"/>
              </w:rPr>
              <w:t>4.67</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line="269" w:lineRule="exact"/>
              <w:ind w:left="422"/>
              <w:rPr>
                <w:rFonts w:hint="default"/>
                <w:sz w:val="21"/>
                <w:szCs w:val="21"/>
              </w:rPr>
            </w:pPr>
            <w:r>
              <w:rPr>
                <w:rFonts w:cs="宋体"/>
                <w:sz w:val="21"/>
                <w:szCs w:val="21"/>
              </w:rPr>
              <w:t>94.60</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line="269" w:lineRule="exact"/>
              <w:ind w:left="204" w:right="116"/>
              <w:jc w:val="center"/>
              <w:rPr>
                <w:rFonts w:hint="default"/>
                <w:sz w:val="21"/>
                <w:szCs w:val="21"/>
              </w:rPr>
            </w:pPr>
            <w:r>
              <w:rPr>
                <w:rFonts w:cs="宋体"/>
                <w:sz w:val="21"/>
                <w:szCs w:val="21"/>
              </w:rPr>
              <w:t>20.26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continue"/>
            <w:tcBorders>
              <w:top w:val="nil"/>
              <w:left w:val="single" w:color="000000" w:sz="4" w:space="0"/>
              <w:bottom w:val="nil"/>
              <w:right w:val="single" w:color="000000" w:sz="4" w:space="0"/>
            </w:tcBorders>
            <w:shd w:val="clear" w:color="auto" w:fill="auto"/>
            <w:vAlign w:val="center"/>
          </w:tcPr>
          <w:p>
            <w:pPr>
              <w:rPr>
                <w:rFonts w:ascii="Times New Roman" w:hAnsi="Times New Roman" w:cs="Times New Roman"/>
                <w:sz w:val="20"/>
                <w:szCs w:val="20"/>
              </w:rPr>
            </w:pPr>
          </w:p>
        </w:tc>
        <w:tc>
          <w:tcPr>
            <w:tcW w:w="1180" w:type="dxa"/>
            <w:vMerge w:val="continue"/>
            <w:tcBorders>
              <w:top w:val="nil"/>
              <w:left w:val="nil"/>
              <w:bottom w:val="nil"/>
              <w:right w:val="single" w:color="000000" w:sz="4" w:space="0"/>
            </w:tcBorders>
            <w:shd w:val="clear" w:color="auto" w:fill="auto"/>
            <w:vAlign w:val="center"/>
          </w:tcPr>
          <w:p>
            <w:pPr>
              <w:rPr>
                <w:rFonts w:ascii="Times New Roman" w:hAnsi="Times New Roman" w:cs="Times New Roman"/>
                <w:sz w:val="20"/>
                <w:szCs w:val="20"/>
              </w:rPr>
            </w:pPr>
          </w:p>
        </w:tc>
        <w:tc>
          <w:tcPr>
            <w:tcW w:w="1419"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499" w:right="492"/>
              <w:jc w:val="center"/>
              <w:rPr>
                <w:rFonts w:hint="default"/>
                <w:sz w:val="21"/>
                <w:szCs w:val="21"/>
              </w:rPr>
            </w:pPr>
            <w:r>
              <w:rPr>
                <w:rFonts w:cs="宋体"/>
                <w:sz w:val="21"/>
                <w:szCs w:val="21"/>
              </w:rPr>
              <w:t>419</w:t>
            </w:r>
          </w:p>
        </w:tc>
        <w:tc>
          <w:tcPr>
            <w:tcW w:w="2047"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719" w:right="767"/>
              <w:jc w:val="center"/>
              <w:rPr>
                <w:rFonts w:hint="default"/>
                <w:sz w:val="21"/>
                <w:szCs w:val="21"/>
              </w:rPr>
            </w:pPr>
            <w:r>
              <w:rPr>
                <w:rFonts w:cs="宋体"/>
                <w:sz w:val="21"/>
                <w:szCs w:val="21"/>
              </w:rPr>
              <w:t>8.08</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422"/>
              <w:rPr>
                <w:rFonts w:hint="default"/>
                <w:sz w:val="21"/>
                <w:szCs w:val="21"/>
              </w:rPr>
            </w:pPr>
            <w:r>
              <w:rPr>
                <w:rFonts w:cs="宋体"/>
                <w:sz w:val="21"/>
                <w:szCs w:val="21"/>
              </w:rPr>
              <w:t>290.02</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1"/>
              <w:ind w:left="527"/>
              <w:rPr>
                <w:rFonts w:hint="default"/>
                <w:sz w:val="21"/>
                <w:szCs w:val="21"/>
              </w:rPr>
            </w:pPr>
            <w:r>
              <w:rPr>
                <w:rFonts w:cs="宋体"/>
                <w:sz w:val="21"/>
                <w:szCs w:val="21"/>
              </w:rPr>
              <w:t>35.89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restart"/>
            <w:tcBorders>
              <w:top w:val="nil"/>
              <w:left w:val="single" w:color="000000" w:sz="4" w:space="0"/>
              <w:bottom w:val="nil"/>
              <w:right w:val="single" w:color="000000" w:sz="4" w:space="0"/>
            </w:tcBorders>
            <w:shd w:val="clear" w:color="auto" w:fill="auto"/>
            <w:vAlign w:val="center"/>
          </w:tcPr>
          <w:p>
            <w:pPr>
              <w:pStyle w:val="40"/>
              <w:widowControl/>
              <w:spacing w:before="64"/>
              <w:ind w:left="329"/>
              <w:rPr>
                <w:rFonts w:hint="default"/>
                <w:sz w:val="21"/>
                <w:szCs w:val="21"/>
              </w:rPr>
            </w:pPr>
            <w:r>
              <w:rPr>
                <w:rFonts w:cs="宋体"/>
                <w:sz w:val="21"/>
                <w:szCs w:val="21"/>
              </w:rPr>
              <w:t>多层合并</w:t>
            </w:r>
          </w:p>
        </w:tc>
        <w:tc>
          <w:tcPr>
            <w:tcW w:w="1180" w:type="dxa"/>
            <w:vMerge w:val="restart"/>
            <w:tcBorders>
              <w:top w:val="nil"/>
              <w:left w:val="nil"/>
              <w:bottom w:val="nil"/>
              <w:right w:val="single" w:color="000000" w:sz="4" w:space="0"/>
            </w:tcBorders>
            <w:shd w:val="clear" w:color="auto" w:fill="auto"/>
            <w:vAlign w:val="center"/>
          </w:tcPr>
          <w:p>
            <w:pPr>
              <w:pStyle w:val="40"/>
              <w:widowControl/>
              <w:spacing w:before="64"/>
              <w:ind w:left="353"/>
              <w:rPr>
                <w:rFonts w:hint="default"/>
                <w:sz w:val="21"/>
                <w:szCs w:val="21"/>
              </w:rPr>
            </w:pPr>
            <w:r>
              <w:rPr>
                <w:rFonts w:cs="宋体"/>
                <w:sz w:val="21"/>
                <w:szCs w:val="21"/>
              </w:rPr>
              <w:t>16-2</w:t>
            </w:r>
          </w:p>
        </w:tc>
        <w:tc>
          <w:tcPr>
            <w:tcW w:w="1419"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2047"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continue"/>
            <w:tcBorders>
              <w:top w:val="nil"/>
              <w:left w:val="single" w:color="000000" w:sz="4" w:space="0"/>
              <w:bottom w:val="nil"/>
              <w:right w:val="single" w:color="000000" w:sz="4" w:space="0"/>
            </w:tcBorders>
            <w:shd w:val="clear" w:color="auto" w:fill="auto"/>
            <w:vAlign w:val="center"/>
          </w:tcPr>
          <w:p>
            <w:pPr>
              <w:rPr>
                <w:rFonts w:ascii="Times New Roman" w:hAnsi="Times New Roman" w:cs="Times New Roman"/>
                <w:sz w:val="20"/>
                <w:szCs w:val="20"/>
              </w:rPr>
            </w:pPr>
          </w:p>
        </w:tc>
        <w:tc>
          <w:tcPr>
            <w:tcW w:w="1180" w:type="dxa"/>
            <w:vMerge w:val="continue"/>
            <w:tcBorders>
              <w:top w:val="nil"/>
              <w:left w:val="nil"/>
              <w:bottom w:val="nil"/>
              <w:right w:val="single" w:color="000000" w:sz="4" w:space="0"/>
            </w:tcBorders>
            <w:shd w:val="clear" w:color="auto" w:fill="auto"/>
            <w:vAlign w:val="center"/>
          </w:tcPr>
          <w:p>
            <w:pPr>
              <w:rPr>
                <w:rFonts w:ascii="Times New Roman" w:hAnsi="Times New Roman" w:cs="Times New Roman"/>
                <w:sz w:val="20"/>
                <w:szCs w:val="20"/>
              </w:rPr>
            </w:pPr>
          </w:p>
        </w:tc>
        <w:tc>
          <w:tcPr>
            <w:tcW w:w="1419" w:type="dxa"/>
            <w:vMerge w:val="restart"/>
            <w:tcBorders>
              <w:top w:val="nil"/>
              <w:left w:val="nil"/>
              <w:bottom w:val="single" w:color="000000" w:sz="4" w:space="0"/>
              <w:right w:val="single" w:color="000000" w:sz="4" w:space="0"/>
            </w:tcBorders>
            <w:shd w:val="clear" w:color="auto" w:fill="auto"/>
            <w:vAlign w:val="center"/>
          </w:tcPr>
          <w:p>
            <w:pPr>
              <w:pStyle w:val="40"/>
              <w:widowControl/>
              <w:ind w:left="499" w:right="492"/>
              <w:jc w:val="center"/>
              <w:rPr>
                <w:rFonts w:hint="default"/>
                <w:sz w:val="21"/>
                <w:szCs w:val="21"/>
              </w:rPr>
            </w:pPr>
            <w:r>
              <w:rPr>
                <w:rFonts w:cs="宋体"/>
                <w:sz w:val="21"/>
                <w:szCs w:val="21"/>
              </w:rPr>
              <w:t>415</w:t>
            </w:r>
          </w:p>
        </w:tc>
        <w:tc>
          <w:tcPr>
            <w:tcW w:w="2047" w:type="dxa"/>
            <w:vMerge w:val="restart"/>
            <w:tcBorders>
              <w:top w:val="nil"/>
              <w:left w:val="nil"/>
              <w:bottom w:val="single" w:color="000000" w:sz="4" w:space="0"/>
              <w:right w:val="single" w:color="000000" w:sz="4" w:space="0"/>
            </w:tcBorders>
            <w:shd w:val="clear" w:color="auto" w:fill="auto"/>
            <w:vAlign w:val="center"/>
          </w:tcPr>
          <w:p>
            <w:pPr>
              <w:pStyle w:val="40"/>
              <w:widowControl/>
              <w:ind w:left="719" w:right="767"/>
              <w:jc w:val="center"/>
              <w:rPr>
                <w:rFonts w:hint="default"/>
                <w:sz w:val="21"/>
                <w:szCs w:val="21"/>
              </w:rPr>
            </w:pPr>
            <w:r>
              <w:rPr>
                <w:rFonts w:cs="宋体"/>
                <w:sz w:val="21"/>
                <w:szCs w:val="21"/>
              </w:rPr>
              <w:t>5.35</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ind w:left="422"/>
              <w:rPr>
                <w:rFonts w:hint="default"/>
                <w:sz w:val="21"/>
                <w:szCs w:val="21"/>
              </w:rPr>
            </w:pPr>
            <w:r>
              <w:rPr>
                <w:rFonts w:cs="宋体"/>
                <w:sz w:val="21"/>
                <w:szCs w:val="21"/>
              </w:rPr>
              <w:t>261.29</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ind w:left="527"/>
              <w:rPr>
                <w:rFonts w:hint="default"/>
                <w:sz w:val="21"/>
                <w:szCs w:val="21"/>
              </w:rPr>
            </w:pPr>
            <w:r>
              <w:rPr>
                <w:rFonts w:cs="宋体"/>
                <w:sz w:val="21"/>
                <w:szCs w:val="21"/>
              </w:rPr>
              <w:t>48.84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restart"/>
            <w:tcBorders>
              <w:top w:val="nil"/>
              <w:left w:val="single" w:color="000000" w:sz="4" w:space="0"/>
              <w:bottom w:val="nil"/>
              <w:right w:val="single" w:color="000000" w:sz="4" w:space="0"/>
            </w:tcBorders>
            <w:shd w:val="clear" w:color="auto" w:fill="auto"/>
            <w:vAlign w:val="center"/>
          </w:tcPr>
          <w:p>
            <w:pPr>
              <w:pStyle w:val="40"/>
              <w:widowControl/>
              <w:spacing w:before="64"/>
              <w:ind w:left="329"/>
              <w:rPr>
                <w:rFonts w:hint="default"/>
                <w:sz w:val="21"/>
                <w:szCs w:val="21"/>
              </w:rPr>
            </w:pPr>
            <w:r>
              <w:rPr>
                <w:rFonts w:cs="宋体"/>
                <w:sz w:val="21"/>
                <w:szCs w:val="21"/>
              </w:rPr>
              <w:t>开采计算</w:t>
            </w:r>
          </w:p>
        </w:tc>
        <w:tc>
          <w:tcPr>
            <w:tcW w:w="1180" w:type="dxa"/>
            <w:vMerge w:val="restart"/>
            <w:tcBorders>
              <w:top w:val="nil"/>
              <w:left w:val="nil"/>
              <w:bottom w:val="nil"/>
              <w:right w:val="single" w:color="000000" w:sz="4" w:space="0"/>
            </w:tcBorders>
            <w:shd w:val="clear" w:color="auto" w:fill="auto"/>
            <w:vAlign w:val="center"/>
          </w:tcPr>
          <w:p>
            <w:pPr>
              <w:pStyle w:val="40"/>
              <w:widowControl/>
              <w:spacing w:before="64"/>
              <w:ind w:left="353"/>
              <w:rPr>
                <w:rFonts w:hint="default"/>
                <w:sz w:val="21"/>
                <w:szCs w:val="21"/>
              </w:rPr>
            </w:pPr>
            <w:r>
              <w:rPr>
                <w:rFonts w:cs="宋体"/>
                <w:sz w:val="21"/>
                <w:szCs w:val="21"/>
              </w:rPr>
              <w:t>16-3</w:t>
            </w:r>
          </w:p>
        </w:tc>
        <w:tc>
          <w:tcPr>
            <w:tcW w:w="1419"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2047"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continue"/>
            <w:tcBorders>
              <w:top w:val="nil"/>
              <w:left w:val="single" w:color="000000" w:sz="4" w:space="0"/>
              <w:bottom w:val="nil"/>
              <w:right w:val="single" w:color="000000" w:sz="4" w:space="0"/>
            </w:tcBorders>
            <w:shd w:val="clear" w:color="auto" w:fill="auto"/>
            <w:vAlign w:val="center"/>
          </w:tcPr>
          <w:p>
            <w:pPr>
              <w:rPr>
                <w:rFonts w:ascii="Times New Roman" w:hAnsi="Times New Roman" w:cs="Times New Roman"/>
                <w:sz w:val="20"/>
                <w:szCs w:val="20"/>
              </w:rPr>
            </w:pPr>
          </w:p>
        </w:tc>
        <w:tc>
          <w:tcPr>
            <w:tcW w:w="1180" w:type="dxa"/>
            <w:vMerge w:val="continue"/>
            <w:tcBorders>
              <w:top w:val="nil"/>
              <w:left w:val="nil"/>
              <w:bottom w:val="nil"/>
              <w:right w:val="single" w:color="000000" w:sz="4" w:space="0"/>
            </w:tcBorders>
            <w:shd w:val="clear" w:color="auto" w:fill="auto"/>
            <w:vAlign w:val="center"/>
          </w:tcPr>
          <w:p>
            <w:pPr>
              <w:rPr>
                <w:rFonts w:ascii="Times New Roman" w:hAnsi="Times New Roman" w:cs="Times New Roman"/>
                <w:sz w:val="20"/>
                <w:szCs w:val="20"/>
              </w:rPr>
            </w:pPr>
          </w:p>
        </w:tc>
        <w:tc>
          <w:tcPr>
            <w:tcW w:w="1419" w:type="dxa"/>
            <w:vMerge w:val="restart"/>
            <w:tcBorders>
              <w:top w:val="nil"/>
              <w:left w:val="nil"/>
              <w:bottom w:val="single" w:color="000000" w:sz="4" w:space="0"/>
              <w:right w:val="single" w:color="000000" w:sz="4" w:space="0"/>
            </w:tcBorders>
            <w:shd w:val="clear" w:color="auto" w:fill="auto"/>
            <w:vAlign w:val="center"/>
          </w:tcPr>
          <w:p>
            <w:pPr>
              <w:pStyle w:val="40"/>
              <w:widowControl/>
              <w:ind w:left="499" w:right="492"/>
              <w:jc w:val="center"/>
              <w:rPr>
                <w:rFonts w:hint="default"/>
                <w:sz w:val="21"/>
                <w:szCs w:val="21"/>
              </w:rPr>
            </w:pPr>
            <w:r>
              <w:rPr>
                <w:rFonts w:cs="宋体"/>
                <w:sz w:val="21"/>
                <w:szCs w:val="21"/>
              </w:rPr>
              <w:t>418</w:t>
            </w:r>
          </w:p>
        </w:tc>
        <w:tc>
          <w:tcPr>
            <w:tcW w:w="2047" w:type="dxa"/>
            <w:vMerge w:val="restart"/>
            <w:tcBorders>
              <w:top w:val="nil"/>
              <w:left w:val="nil"/>
              <w:bottom w:val="single" w:color="000000" w:sz="4" w:space="0"/>
              <w:right w:val="single" w:color="000000" w:sz="4" w:space="0"/>
            </w:tcBorders>
            <w:shd w:val="clear" w:color="auto" w:fill="auto"/>
            <w:vAlign w:val="center"/>
          </w:tcPr>
          <w:p>
            <w:pPr>
              <w:pStyle w:val="40"/>
              <w:widowControl/>
              <w:ind w:left="719" w:right="767"/>
              <w:jc w:val="center"/>
              <w:rPr>
                <w:rFonts w:hint="default"/>
                <w:sz w:val="21"/>
                <w:szCs w:val="21"/>
              </w:rPr>
            </w:pPr>
            <w:r>
              <w:rPr>
                <w:rFonts w:cs="宋体"/>
                <w:sz w:val="21"/>
                <w:szCs w:val="21"/>
              </w:rPr>
              <w:t>8.83</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ind w:left="422"/>
              <w:rPr>
                <w:rFonts w:hint="default"/>
                <w:sz w:val="21"/>
                <w:szCs w:val="21"/>
              </w:rPr>
            </w:pPr>
            <w:r>
              <w:rPr>
                <w:rFonts w:cs="宋体"/>
                <w:sz w:val="21"/>
                <w:szCs w:val="21"/>
              </w:rPr>
              <w:t>188.38</w:t>
            </w:r>
          </w:p>
        </w:tc>
        <w:tc>
          <w:tcPr>
            <w:tcW w:w="1570" w:type="dxa"/>
            <w:vMerge w:val="restart"/>
            <w:tcBorders>
              <w:top w:val="nil"/>
              <w:left w:val="nil"/>
              <w:bottom w:val="single" w:color="000000" w:sz="4" w:space="0"/>
              <w:right w:val="single" w:color="000000" w:sz="4" w:space="0"/>
            </w:tcBorders>
            <w:shd w:val="clear" w:color="auto" w:fill="auto"/>
            <w:vAlign w:val="center"/>
          </w:tcPr>
          <w:p>
            <w:pPr>
              <w:pStyle w:val="40"/>
              <w:widowControl/>
              <w:ind w:left="527"/>
              <w:rPr>
                <w:rFonts w:hint="default"/>
                <w:sz w:val="21"/>
                <w:szCs w:val="21"/>
              </w:rPr>
            </w:pPr>
            <w:r>
              <w:rPr>
                <w:rFonts w:cs="宋体"/>
                <w:sz w:val="21"/>
                <w:szCs w:val="21"/>
              </w:rPr>
              <w:t>21.33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vMerge w:val="restart"/>
            <w:tcBorders>
              <w:top w:val="nil"/>
              <w:left w:val="single" w:color="000000" w:sz="4" w:space="0"/>
              <w:bottom w:val="single" w:color="000000" w:sz="4" w:space="0"/>
              <w:right w:val="single" w:color="000000" w:sz="4" w:space="0"/>
            </w:tcBorders>
            <w:shd w:val="clear" w:color="auto" w:fill="auto"/>
            <w:vAlign w:val="center"/>
          </w:tcPr>
          <w:p>
            <w:pPr>
              <w:pStyle w:val="40"/>
              <w:widowControl/>
              <w:rPr>
                <w:rFonts w:hint="default" w:ascii="Times New Roman"/>
              </w:rPr>
            </w:pPr>
          </w:p>
        </w:tc>
        <w:tc>
          <w:tcPr>
            <w:tcW w:w="1180" w:type="dxa"/>
            <w:vMerge w:val="restart"/>
            <w:tcBorders>
              <w:top w:val="nil"/>
              <w:left w:val="nil"/>
              <w:bottom w:val="single" w:color="000000" w:sz="4" w:space="0"/>
              <w:right w:val="single" w:color="000000" w:sz="4" w:space="0"/>
            </w:tcBorders>
            <w:shd w:val="clear" w:color="auto" w:fill="auto"/>
            <w:vAlign w:val="center"/>
          </w:tcPr>
          <w:p>
            <w:pPr>
              <w:pStyle w:val="40"/>
              <w:widowControl/>
              <w:spacing w:before="64"/>
              <w:ind w:left="386" w:right="377"/>
              <w:jc w:val="center"/>
              <w:rPr>
                <w:rFonts w:hint="default"/>
                <w:sz w:val="21"/>
                <w:szCs w:val="21"/>
              </w:rPr>
            </w:pPr>
            <w:r>
              <w:rPr>
                <w:rFonts w:cs="宋体"/>
                <w:sz w:val="21"/>
                <w:szCs w:val="21"/>
              </w:rPr>
              <w:t>17</w:t>
            </w:r>
          </w:p>
        </w:tc>
        <w:tc>
          <w:tcPr>
            <w:tcW w:w="1419"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2047"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57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369"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180" w:type="dxa"/>
            <w:vMerge w:val="continue"/>
            <w:tcBorders>
              <w:top w:val="nil"/>
              <w:left w:val="nil"/>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1419"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499" w:right="492"/>
              <w:jc w:val="center"/>
              <w:rPr>
                <w:rFonts w:hint="default"/>
                <w:sz w:val="21"/>
                <w:szCs w:val="21"/>
              </w:rPr>
            </w:pPr>
            <w:r>
              <w:rPr>
                <w:rFonts w:cs="宋体"/>
                <w:sz w:val="21"/>
                <w:szCs w:val="21"/>
              </w:rPr>
              <w:t>422</w:t>
            </w:r>
          </w:p>
        </w:tc>
        <w:tc>
          <w:tcPr>
            <w:tcW w:w="2047"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719" w:right="767"/>
              <w:jc w:val="center"/>
              <w:rPr>
                <w:rFonts w:hint="default"/>
                <w:sz w:val="21"/>
                <w:szCs w:val="21"/>
              </w:rPr>
            </w:pPr>
            <w:r>
              <w:rPr>
                <w:rFonts w:cs="宋体"/>
                <w:sz w:val="21"/>
                <w:szCs w:val="21"/>
              </w:rPr>
              <w:t>6.07</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422"/>
              <w:rPr>
                <w:rFonts w:hint="default"/>
                <w:sz w:val="21"/>
                <w:szCs w:val="21"/>
              </w:rPr>
            </w:pPr>
            <w:r>
              <w:rPr>
                <w:rFonts w:cs="宋体"/>
                <w:sz w:val="21"/>
                <w:szCs w:val="21"/>
              </w:rPr>
              <w:t>331.98</w:t>
            </w:r>
          </w:p>
        </w:tc>
        <w:tc>
          <w:tcPr>
            <w:tcW w:w="1570" w:type="dxa"/>
            <w:tcBorders>
              <w:top w:val="single" w:color="000000" w:sz="4" w:space="0"/>
              <w:left w:val="nil"/>
              <w:bottom w:val="single" w:color="000000" w:sz="4" w:space="0"/>
              <w:right w:val="single" w:color="000000" w:sz="4" w:space="0"/>
            </w:tcBorders>
            <w:shd w:val="clear" w:color="auto" w:fill="auto"/>
            <w:vAlign w:val="center"/>
          </w:tcPr>
          <w:p>
            <w:pPr>
              <w:pStyle w:val="40"/>
              <w:widowControl/>
              <w:spacing w:before="1"/>
              <w:ind w:left="204" w:right="116"/>
              <w:jc w:val="center"/>
              <w:rPr>
                <w:rFonts w:hint="default"/>
                <w:sz w:val="21"/>
                <w:szCs w:val="21"/>
              </w:rPr>
            </w:pPr>
            <w:r>
              <w:rPr>
                <w:rFonts w:cs="宋体"/>
                <w:sz w:val="21"/>
                <w:szCs w:val="21"/>
              </w:rPr>
              <w:t>54.69</w:t>
            </w:r>
          </w:p>
        </w:tc>
      </w:tr>
    </w:tbl>
    <w:p>
      <w:pPr>
        <w:pStyle w:val="11"/>
        <w:spacing w:line="620" w:lineRule="exact"/>
        <w:ind w:firstLine="600" w:firstLineChars="200"/>
        <w:rPr>
          <w:sz w:val="30"/>
          <w:szCs w:val="30"/>
        </w:rPr>
      </w:pPr>
      <w:r>
        <w:rPr>
          <w:rFonts w:hint="eastAsia"/>
          <w:sz w:val="30"/>
          <w:szCs w:val="30"/>
          <w:lang w:val="en-US" w:bidi="ar"/>
        </w:rPr>
        <w:t>2、地表变形量预测</w:t>
      </w:r>
    </w:p>
    <w:p>
      <w:pPr>
        <w:pStyle w:val="11"/>
        <w:spacing w:line="620" w:lineRule="exact"/>
        <w:ind w:firstLine="600" w:firstLineChars="200"/>
        <w:rPr>
          <w:sz w:val="30"/>
          <w:szCs w:val="30"/>
        </w:rPr>
      </w:pPr>
      <w:r>
        <w:rPr>
          <w:rFonts w:hint="eastAsia"/>
          <w:sz w:val="30"/>
          <w:szCs w:val="30"/>
          <w:lang w:val="en-US" w:bidi="ar"/>
        </w:rPr>
        <w:t>根据以下模式预测地面塌陷区地表最大沉降量。最大沉降量：W</w:t>
      </w:r>
      <w:r>
        <w:rPr>
          <w:rFonts w:hint="eastAsia"/>
          <w:position w:val="-2"/>
          <w:sz w:val="30"/>
          <w:szCs w:val="30"/>
          <w:lang w:val="en-US" w:bidi="ar"/>
        </w:rPr>
        <w:t>max</w:t>
      </w:r>
      <w:r>
        <w:rPr>
          <w:rFonts w:hint="eastAsia"/>
          <w:sz w:val="30"/>
          <w:szCs w:val="30"/>
          <w:lang w:val="en-US" w:bidi="ar"/>
        </w:rPr>
        <w:t>= mηcosα式中：</w:t>
      </w:r>
    </w:p>
    <w:p>
      <w:pPr>
        <w:pStyle w:val="11"/>
        <w:spacing w:line="620" w:lineRule="exact"/>
        <w:ind w:firstLine="600" w:firstLineChars="200"/>
        <w:rPr>
          <w:sz w:val="30"/>
          <w:szCs w:val="30"/>
        </w:rPr>
      </w:pPr>
      <w:r>
        <w:rPr>
          <w:sz w:val="30"/>
          <w:szCs w:val="30"/>
          <w:lang w:val="en-US" w:bidi="ar"/>
        </w:rPr>
        <w:t>W</w:t>
      </w:r>
      <w:r>
        <w:rPr>
          <w:spacing w:val="-6"/>
          <w:sz w:val="30"/>
          <w:szCs w:val="30"/>
          <w:lang w:val="en-US" w:bidi="ar"/>
        </w:rPr>
        <w:t xml:space="preserve"> </w:t>
      </w:r>
      <w:r>
        <w:rPr>
          <w:sz w:val="30"/>
          <w:szCs w:val="30"/>
          <w:lang w:val="en-US" w:bidi="ar"/>
        </w:rPr>
        <w:t>m</w:t>
      </w:r>
      <w:r>
        <w:rPr>
          <w:spacing w:val="-1"/>
          <w:sz w:val="30"/>
          <w:szCs w:val="30"/>
          <w:lang w:val="en-US" w:bidi="ar"/>
        </w:rPr>
        <w:t>a</w:t>
      </w:r>
      <w:r>
        <w:rPr>
          <w:sz w:val="30"/>
          <w:szCs w:val="30"/>
          <w:lang w:val="en-US" w:bidi="ar"/>
        </w:rPr>
        <w:t>x</w:t>
      </w:r>
      <w:r>
        <w:rPr>
          <w:rFonts w:hint="eastAsia"/>
          <w:sz w:val="30"/>
          <w:szCs w:val="30"/>
          <w:lang w:val="en-US" w:bidi="ar"/>
        </w:rPr>
        <w:t>——最大沉降量</w:t>
      </w:r>
      <w:r>
        <w:rPr>
          <w:rFonts w:hint="eastAsia"/>
          <w:spacing w:val="-4"/>
          <w:sz w:val="30"/>
          <w:szCs w:val="30"/>
          <w:lang w:val="en-US" w:bidi="ar"/>
        </w:rPr>
        <w:t>（</w:t>
      </w:r>
      <w:r>
        <w:rPr>
          <w:spacing w:val="-4"/>
          <w:sz w:val="30"/>
          <w:szCs w:val="30"/>
          <w:lang w:val="en-US" w:bidi="ar"/>
        </w:rPr>
        <w:t>m</w:t>
      </w:r>
      <w:r>
        <w:rPr>
          <w:rFonts w:hint="eastAsia"/>
          <w:spacing w:val="-124"/>
          <w:sz w:val="30"/>
          <w:szCs w:val="30"/>
          <w:lang w:val="en-US" w:bidi="ar"/>
        </w:rPr>
        <w:t>）</w:t>
      </w:r>
      <w:r>
        <w:rPr>
          <w:rFonts w:hint="eastAsia"/>
          <w:spacing w:val="-4"/>
          <w:sz w:val="30"/>
          <w:szCs w:val="30"/>
          <w:lang w:val="en-US" w:bidi="ar"/>
        </w:rPr>
        <w:t>；</w:t>
      </w:r>
      <w:r>
        <w:rPr>
          <w:rFonts w:hint="eastAsia"/>
          <w:sz w:val="30"/>
          <w:szCs w:val="30"/>
          <w:lang w:val="en-US" w:bidi="ar"/>
        </w:rPr>
        <w:t xml:space="preserve"> η——下沉系数；</w:t>
      </w:r>
      <w:r>
        <w:rPr>
          <w:spacing w:val="-2"/>
          <w:sz w:val="30"/>
          <w:szCs w:val="30"/>
          <w:lang w:val="en-US" w:bidi="ar"/>
        </w:rPr>
        <w:t>m</w:t>
      </w:r>
      <w:r>
        <w:rPr>
          <w:rFonts w:hint="eastAsia"/>
          <w:sz w:val="30"/>
          <w:szCs w:val="30"/>
          <w:lang w:val="en-US" w:bidi="ar"/>
        </w:rPr>
        <w:t>——煤层开采厚度</w:t>
      </w:r>
      <w:r>
        <w:rPr>
          <w:rFonts w:hint="eastAsia"/>
          <w:spacing w:val="-5"/>
          <w:sz w:val="30"/>
          <w:szCs w:val="30"/>
          <w:lang w:val="en-US" w:bidi="ar"/>
        </w:rPr>
        <w:t>（</w:t>
      </w:r>
      <w:r>
        <w:rPr>
          <w:spacing w:val="-5"/>
          <w:sz w:val="30"/>
          <w:szCs w:val="30"/>
          <w:lang w:val="en-US" w:bidi="ar"/>
        </w:rPr>
        <w:t>m</w:t>
      </w:r>
      <w:r>
        <w:rPr>
          <w:rFonts w:hint="eastAsia"/>
          <w:spacing w:val="-125"/>
          <w:sz w:val="30"/>
          <w:szCs w:val="30"/>
          <w:lang w:val="en-US" w:bidi="ar"/>
        </w:rPr>
        <w:t>）</w:t>
      </w:r>
      <w:r>
        <w:rPr>
          <w:rFonts w:hint="eastAsia"/>
          <w:spacing w:val="-5"/>
          <w:sz w:val="30"/>
          <w:szCs w:val="30"/>
          <w:lang w:val="en-US" w:bidi="ar"/>
        </w:rPr>
        <w:t>；</w:t>
      </w:r>
      <w:r>
        <w:rPr>
          <w:rFonts w:hint="eastAsia"/>
          <w:sz w:val="30"/>
          <w:szCs w:val="30"/>
          <w:lang w:val="en-US" w:bidi="ar"/>
        </w:rPr>
        <w:t xml:space="preserve"> α——煤层倾角。</w:t>
      </w:r>
    </w:p>
    <w:p>
      <w:pPr>
        <w:pStyle w:val="11"/>
        <w:spacing w:line="620" w:lineRule="exact"/>
        <w:ind w:firstLine="600" w:firstLineChars="200"/>
        <w:rPr>
          <w:sz w:val="30"/>
          <w:szCs w:val="30"/>
        </w:rPr>
      </w:pPr>
      <w:r>
        <w:rPr>
          <w:rFonts w:hint="eastAsia"/>
          <w:sz w:val="30"/>
          <w:szCs w:val="30"/>
          <w:lang w:val="en-US" w:bidi="ar"/>
        </w:rPr>
        <w:t>预测模式中下沉系数的大小由岩层产状、力学强度、岩体完整程度、岩体的结构</w:t>
      </w:r>
    </w:p>
    <w:p>
      <w:pPr>
        <w:pStyle w:val="11"/>
        <w:spacing w:line="620" w:lineRule="exact"/>
        <w:ind w:firstLine="200"/>
        <w:rPr>
          <w:sz w:val="30"/>
          <w:szCs w:val="30"/>
        </w:rPr>
      </w:pPr>
      <w:r>
        <w:rPr>
          <w:rFonts w:hint="eastAsia"/>
          <w:sz w:val="30"/>
          <w:szCs w:val="30"/>
          <w:lang w:val="en-US" w:bidi="ar"/>
        </w:rPr>
        <w:t xml:space="preserve">及矿山开采方式、顶底板处理程度等因素综合确定，取下沉系数为 </w:t>
      </w:r>
      <w:r>
        <w:rPr>
          <w:sz w:val="30"/>
          <w:szCs w:val="30"/>
          <w:lang w:val="en-US" w:bidi="ar"/>
        </w:rPr>
        <w:t>0.60</w:t>
      </w:r>
      <w:r>
        <w:rPr>
          <w:rFonts w:hint="eastAsia"/>
          <w:sz w:val="30"/>
          <w:szCs w:val="30"/>
          <w:lang w:val="en-US" w:bidi="ar"/>
        </w:rPr>
        <w:t>。</w:t>
      </w:r>
      <w:r>
        <w:rPr>
          <w:rFonts w:hint="eastAsia"/>
          <w:spacing w:val="-7"/>
          <w:sz w:val="30"/>
          <w:szCs w:val="30"/>
          <w:lang w:val="en-US" w:bidi="ar"/>
        </w:rPr>
        <w:t>根据地表变形量预测模式，以及煤层的赋存条件和开采方法，对评估区内预测地</w:t>
      </w:r>
      <w:r>
        <w:rPr>
          <w:rFonts w:hint="eastAsia"/>
          <w:sz w:val="30"/>
          <w:szCs w:val="30"/>
          <w:lang w:val="en-US" w:bidi="ar"/>
        </w:rPr>
        <w:t>面塌陷区计算了最大沉降量（</w:t>
      </w:r>
      <w:r>
        <w:rPr>
          <w:rFonts w:hint="eastAsia"/>
          <w:spacing w:val="-20"/>
          <w:sz w:val="30"/>
          <w:szCs w:val="30"/>
          <w:lang w:val="en-US" w:bidi="ar"/>
        </w:rPr>
        <w:t xml:space="preserve">见表 </w:t>
      </w:r>
      <w:r>
        <w:rPr>
          <w:sz w:val="30"/>
          <w:szCs w:val="30"/>
          <w:lang w:val="en-US" w:bidi="ar"/>
        </w:rPr>
        <w:t>3</w:t>
      </w:r>
      <w:r>
        <w:rPr>
          <w:spacing w:val="-1"/>
          <w:sz w:val="30"/>
          <w:szCs w:val="30"/>
          <w:lang w:val="en-US" w:bidi="ar"/>
        </w:rPr>
        <w:t>-</w:t>
      </w:r>
      <w:r>
        <w:rPr>
          <w:sz w:val="30"/>
          <w:szCs w:val="30"/>
          <w:lang w:val="en-US" w:bidi="ar"/>
        </w:rPr>
        <w:t>5</w:t>
      </w:r>
      <w:r>
        <w:rPr>
          <w:rFonts w:hint="eastAsia"/>
          <w:spacing w:val="-120"/>
          <w:sz w:val="30"/>
          <w:szCs w:val="30"/>
          <w:lang w:val="en-US" w:bidi="ar"/>
        </w:rPr>
        <w:t>）</w:t>
      </w:r>
      <w:r>
        <w:rPr>
          <w:rFonts w:hint="eastAsia"/>
          <w:sz w:val="30"/>
          <w:szCs w:val="30"/>
          <w:lang w:val="en-US" w:bidi="ar"/>
        </w:rPr>
        <w:t>。</w:t>
      </w:r>
    </w:p>
    <w:p>
      <w:pPr>
        <w:spacing w:line="306" w:lineRule="exact"/>
        <w:ind w:left="3275"/>
        <w:rPr>
          <w:b/>
          <w:sz w:val="24"/>
          <w:szCs w:val="24"/>
        </w:rPr>
      </w:pPr>
      <w:r>
        <w:rPr>
          <w:rFonts w:hint="eastAsia"/>
          <w:b/>
          <w:sz w:val="24"/>
          <w:szCs w:val="24"/>
          <w:lang w:val="en-US" w:bidi="ar"/>
        </w:rPr>
        <w:t>地表变形预测结果表</w:t>
      </w:r>
      <w:r>
        <w:rPr>
          <w:rFonts w:hint="eastAsia"/>
          <w:b/>
          <w:sz w:val="24"/>
          <w:szCs w:val="24"/>
          <w:lang w:val="en-US" w:bidi="ar"/>
        </w:rPr>
        <w:tab/>
      </w:r>
      <w:r>
        <w:rPr>
          <w:rFonts w:hint="eastAsia"/>
          <w:b/>
          <w:sz w:val="24"/>
          <w:szCs w:val="24"/>
          <w:lang w:val="en-US" w:bidi="ar"/>
        </w:rPr>
        <w:t>表</w:t>
      </w:r>
      <w:r>
        <w:rPr>
          <w:rFonts w:hint="eastAsia"/>
          <w:b/>
          <w:spacing w:val="-52"/>
          <w:sz w:val="24"/>
          <w:szCs w:val="24"/>
          <w:lang w:val="en-US" w:bidi="ar"/>
        </w:rPr>
        <w:t xml:space="preserve"> </w:t>
      </w:r>
      <w:r>
        <w:rPr>
          <w:rFonts w:hint="eastAsia"/>
          <w:b/>
          <w:sz w:val="24"/>
          <w:szCs w:val="24"/>
          <w:lang w:val="en-US" w:bidi="ar"/>
        </w:rPr>
        <w:t>3-5</w:t>
      </w:r>
    </w:p>
    <w:p>
      <w:pPr>
        <w:pStyle w:val="11"/>
        <w:spacing w:before="5" w:after="1"/>
        <w:rPr>
          <w:b/>
          <w:sz w:val="12"/>
          <w:szCs w:val="12"/>
        </w:rPr>
      </w:pPr>
      <w:r>
        <w:rPr>
          <w:rFonts w:hint="eastAsia"/>
          <w:b/>
          <w:sz w:val="12"/>
          <w:szCs w:val="12"/>
          <w:lang w:val="en-US" w:bidi="ar"/>
        </w:rPr>
        <w:t xml:space="preserve"> </w:t>
      </w:r>
    </w:p>
    <w:tbl>
      <w:tblPr>
        <w:tblStyle w:val="12"/>
        <w:tblW w:w="9137" w:type="dxa"/>
        <w:tblInd w:w="25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79"/>
        <w:gridCol w:w="2014"/>
        <w:gridCol w:w="1782"/>
        <w:gridCol w:w="1782"/>
        <w:gridCol w:w="178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8" w:hRule="atLeast"/>
        </w:trPr>
        <w:tc>
          <w:tcPr>
            <w:tcW w:w="1779" w:type="dxa"/>
            <w:tcBorders>
              <w:top w:val="single" w:color="000000" w:sz="12" w:space="0"/>
              <w:left w:val="single" w:color="000000" w:sz="12" w:space="0"/>
              <w:bottom w:val="single" w:color="000000" w:sz="6" w:space="0"/>
              <w:right w:val="single" w:color="000000" w:sz="6" w:space="0"/>
            </w:tcBorders>
            <w:shd w:val="clear" w:color="auto" w:fill="auto"/>
          </w:tcPr>
          <w:p>
            <w:pPr>
              <w:pStyle w:val="40"/>
              <w:widowControl/>
              <w:spacing w:before="164"/>
              <w:ind w:left="16"/>
              <w:jc w:val="center"/>
              <w:rPr>
                <w:rFonts w:hint="default"/>
                <w:sz w:val="24"/>
                <w:szCs w:val="24"/>
              </w:rPr>
            </w:pPr>
            <w:r>
              <w:rPr>
                <w:rFonts w:cs="宋体"/>
                <w:sz w:val="24"/>
                <w:szCs w:val="24"/>
              </w:rPr>
              <w:t>位</w:t>
            </w:r>
            <w:r>
              <w:rPr>
                <w:rFonts w:cs="宋体"/>
                <w:sz w:val="24"/>
                <w:szCs w:val="24"/>
              </w:rPr>
              <w:tab/>
            </w:r>
            <w:r>
              <w:rPr>
                <w:rFonts w:cs="宋体"/>
                <w:sz w:val="24"/>
                <w:szCs w:val="24"/>
              </w:rPr>
              <w:t>置</w:t>
            </w:r>
          </w:p>
        </w:tc>
        <w:tc>
          <w:tcPr>
            <w:tcW w:w="2014" w:type="dxa"/>
            <w:tcBorders>
              <w:top w:val="single" w:color="000000" w:sz="12" w:space="0"/>
              <w:left w:val="nil"/>
              <w:bottom w:val="single" w:color="000000" w:sz="6" w:space="0"/>
              <w:right w:val="single" w:color="000000" w:sz="6" w:space="0"/>
            </w:tcBorders>
            <w:shd w:val="clear" w:color="auto" w:fill="auto"/>
          </w:tcPr>
          <w:p>
            <w:pPr>
              <w:pStyle w:val="40"/>
              <w:widowControl/>
              <w:spacing w:before="13"/>
              <w:ind w:left="136" w:right="112"/>
              <w:jc w:val="center"/>
              <w:rPr>
                <w:rFonts w:hint="default"/>
                <w:sz w:val="24"/>
                <w:szCs w:val="24"/>
              </w:rPr>
            </w:pPr>
            <w:r>
              <w:rPr>
                <w:rFonts w:cs="宋体"/>
                <w:sz w:val="24"/>
                <w:szCs w:val="24"/>
              </w:rPr>
              <w:t>煤层最大平均厚度</w:t>
            </w:r>
          </w:p>
          <w:p>
            <w:pPr>
              <w:pStyle w:val="40"/>
              <w:widowControl/>
              <w:spacing w:before="26" w:line="232" w:lineRule="exact"/>
              <w:ind w:left="136" w:right="108"/>
              <w:jc w:val="center"/>
              <w:rPr>
                <w:rFonts w:hint="default"/>
                <w:sz w:val="24"/>
                <w:szCs w:val="24"/>
              </w:rPr>
            </w:pPr>
            <w:r>
              <w:rPr>
                <w:rFonts w:hint="default" w:cs="宋体"/>
                <w:sz w:val="24"/>
                <w:szCs w:val="24"/>
              </w:rPr>
              <w:t>(m)</w:t>
            </w:r>
          </w:p>
        </w:tc>
        <w:tc>
          <w:tcPr>
            <w:tcW w:w="1782" w:type="dxa"/>
            <w:tcBorders>
              <w:top w:val="single" w:color="000000" w:sz="12" w:space="0"/>
              <w:left w:val="nil"/>
              <w:bottom w:val="single" w:color="000000" w:sz="6" w:space="0"/>
              <w:right w:val="single" w:color="000000" w:sz="6" w:space="0"/>
            </w:tcBorders>
            <w:shd w:val="clear" w:color="auto" w:fill="auto"/>
          </w:tcPr>
          <w:p>
            <w:pPr>
              <w:pStyle w:val="40"/>
              <w:widowControl/>
              <w:spacing w:before="2" w:line="280" w:lineRule="atLeast"/>
              <w:ind w:left="780" w:right="435" w:hanging="315"/>
              <w:rPr>
                <w:rFonts w:hint="default"/>
                <w:sz w:val="24"/>
                <w:szCs w:val="24"/>
              </w:rPr>
            </w:pPr>
            <w:r>
              <w:rPr>
                <w:rFonts w:cs="宋体"/>
                <w:sz w:val="24"/>
                <w:szCs w:val="24"/>
              </w:rPr>
              <w:t>下沉系数η</w:t>
            </w:r>
          </w:p>
        </w:tc>
        <w:tc>
          <w:tcPr>
            <w:tcW w:w="1782" w:type="dxa"/>
            <w:tcBorders>
              <w:top w:val="single" w:color="000000" w:sz="12" w:space="0"/>
              <w:left w:val="nil"/>
              <w:bottom w:val="single" w:color="000000" w:sz="6" w:space="0"/>
              <w:right w:val="single" w:color="000000" w:sz="6" w:space="0"/>
            </w:tcBorders>
            <w:shd w:val="clear" w:color="auto" w:fill="auto"/>
          </w:tcPr>
          <w:p>
            <w:pPr>
              <w:pStyle w:val="40"/>
              <w:widowControl/>
              <w:spacing w:before="13"/>
              <w:ind w:left="442" w:right="418"/>
              <w:jc w:val="center"/>
              <w:rPr>
                <w:rFonts w:hint="default"/>
                <w:sz w:val="24"/>
                <w:szCs w:val="24"/>
              </w:rPr>
            </w:pPr>
            <w:r>
              <w:rPr>
                <w:rFonts w:cs="宋体"/>
                <w:sz w:val="24"/>
                <w:szCs w:val="24"/>
              </w:rPr>
              <w:t>煤层倾角</w:t>
            </w:r>
          </w:p>
          <w:p>
            <w:pPr>
              <w:pStyle w:val="40"/>
              <w:widowControl/>
              <w:spacing w:before="12" w:line="246" w:lineRule="exact"/>
              <w:ind w:left="442" w:right="413"/>
              <w:jc w:val="center"/>
              <w:rPr>
                <w:rFonts w:hint="default"/>
                <w:sz w:val="24"/>
                <w:szCs w:val="24"/>
              </w:rPr>
            </w:pPr>
            <w:r>
              <w:rPr>
                <w:rFonts w:hint="default" w:cs="宋体"/>
                <w:sz w:val="24"/>
                <w:szCs w:val="24"/>
              </w:rPr>
              <w:t>(</w:t>
            </w:r>
            <w:r>
              <w:rPr>
                <w:rFonts w:cs="宋体"/>
                <w:sz w:val="24"/>
                <w:szCs w:val="24"/>
              </w:rPr>
              <w:t>°</w:t>
            </w:r>
            <w:r>
              <w:rPr>
                <w:rFonts w:hint="default" w:cs="宋体"/>
                <w:sz w:val="24"/>
                <w:szCs w:val="24"/>
              </w:rPr>
              <w:t>)</w:t>
            </w:r>
          </w:p>
        </w:tc>
        <w:tc>
          <w:tcPr>
            <w:tcW w:w="1780" w:type="dxa"/>
            <w:tcBorders>
              <w:top w:val="single" w:color="000000" w:sz="12" w:space="0"/>
              <w:left w:val="nil"/>
              <w:bottom w:val="single" w:color="000000" w:sz="6" w:space="0"/>
              <w:right w:val="single" w:color="000000" w:sz="12" w:space="0"/>
            </w:tcBorders>
            <w:shd w:val="clear" w:color="auto" w:fill="auto"/>
          </w:tcPr>
          <w:p>
            <w:pPr>
              <w:pStyle w:val="40"/>
              <w:widowControl/>
              <w:spacing w:before="13"/>
              <w:ind w:left="338" w:right="302"/>
              <w:jc w:val="center"/>
              <w:rPr>
                <w:rFonts w:hint="default"/>
                <w:sz w:val="24"/>
                <w:szCs w:val="24"/>
              </w:rPr>
            </w:pPr>
            <w:r>
              <w:rPr>
                <w:rFonts w:cs="宋体"/>
                <w:sz w:val="24"/>
                <w:szCs w:val="24"/>
              </w:rPr>
              <w:t>最大沉降量</w:t>
            </w:r>
          </w:p>
          <w:p>
            <w:pPr>
              <w:pStyle w:val="40"/>
              <w:widowControl/>
              <w:spacing w:before="26" w:line="232" w:lineRule="exact"/>
              <w:ind w:left="337" w:right="302"/>
              <w:jc w:val="center"/>
              <w:rPr>
                <w:rFonts w:hint="default"/>
                <w:sz w:val="24"/>
                <w:szCs w:val="24"/>
              </w:rPr>
            </w:pPr>
            <w:r>
              <w:rPr>
                <w:rFonts w:hint="default" w:cs="宋体"/>
                <w:sz w:val="24"/>
                <w:szCs w:val="24"/>
              </w:rPr>
              <w:t>(m)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7" w:hRule="atLeast"/>
        </w:trPr>
        <w:tc>
          <w:tcPr>
            <w:tcW w:w="1779" w:type="dxa"/>
            <w:tcBorders>
              <w:top w:val="single" w:color="000000" w:sz="6" w:space="0"/>
              <w:left w:val="single" w:color="000000" w:sz="12" w:space="0"/>
              <w:bottom w:val="single" w:color="000000" w:sz="12" w:space="0"/>
              <w:right w:val="single" w:color="000000" w:sz="6" w:space="0"/>
            </w:tcBorders>
            <w:shd w:val="clear" w:color="auto" w:fill="auto"/>
          </w:tcPr>
          <w:p>
            <w:pPr>
              <w:pStyle w:val="40"/>
              <w:widowControl/>
              <w:spacing w:before="4"/>
              <w:rPr>
                <w:rFonts w:hint="default"/>
                <w:b/>
                <w:sz w:val="24"/>
                <w:szCs w:val="24"/>
              </w:rPr>
            </w:pPr>
          </w:p>
          <w:p>
            <w:pPr>
              <w:pStyle w:val="40"/>
              <w:widowControl/>
              <w:ind w:left="16"/>
              <w:jc w:val="center"/>
              <w:rPr>
                <w:rFonts w:hint="default"/>
                <w:sz w:val="24"/>
                <w:szCs w:val="24"/>
              </w:rPr>
            </w:pPr>
            <w:r>
              <w:rPr>
                <w:rFonts w:cs="宋体"/>
                <w:sz w:val="24"/>
                <w:szCs w:val="24"/>
              </w:rPr>
              <w:t>预测地面塌陷区</w:t>
            </w:r>
          </w:p>
        </w:tc>
        <w:tc>
          <w:tcPr>
            <w:tcW w:w="2014" w:type="dxa"/>
            <w:tcBorders>
              <w:top w:val="single" w:color="000000" w:sz="6" w:space="0"/>
              <w:left w:val="nil"/>
              <w:bottom w:val="single" w:color="000000" w:sz="12" w:space="0"/>
              <w:right w:val="single" w:color="000000" w:sz="6" w:space="0"/>
            </w:tcBorders>
            <w:shd w:val="clear" w:color="auto" w:fill="auto"/>
          </w:tcPr>
          <w:p>
            <w:pPr>
              <w:pStyle w:val="40"/>
              <w:widowControl/>
              <w:spacing w:before="4"/>
              <w:rPr>
                <w:rFonts w:hint="default"/>
                <w:b/>
                <w:sz w:val="24"/>
                <w:szCs w:val="24"/>
              </w:rPr>
            </w:pPr>
          </w:p>
          <w:p>
            <w:pPr>
              <w:pStyle w:val="40"/>
              <w:widowControl/>
              <w:ind w:left="136" w:right="109"/>
              <w:jc w:val="center"/>
              <w:rPr>
                <w:rFonts w:hint="default"/>
                <w:sz w:val="24"/>
                <w:szCs w:val="24"/>
              </w:rPr>
            </w:pPr>
            <w:r>
              <w:rPr>
                <w:rFonts w:cs="宋体"/>
                <w:sz w:val="24"/>
                <w:szCs w:val="24"/>
              </w:rPr>
              <w:t>11.39</w:t>
            </w:r>
          </w:p>
        </w:tc>
        <w:tc>
          <w:tcPr>
            <w:tcW w:w="1782" w:type="dxa"/>
            <w:tcBorders>
              <w:top w:val="single" w:color="000000" w:sz="6" w:space="0"/>
              <w:left w:val="nil"/>
              <w:bottom w:val="single" w:color="000000" w:sz="12" w:space="0"/>
              <w:right w:val="single" w:color="000000" w:sz="6" w:space="0"/>
            </w:tcBorders>
            <w:shd w:val="clear" w:color="auto" w:fill="auto"/>
          </w:tcPr>
          <w:p>
            <w:pPr>
              <w:pStyle w:val="40"/>
              <w:widowControl/>
              <w:spacing w:before="5"/>
              <w:rPr>
                <w:rFonts w:hint="default"/>
                <w:b/>
                <w:sz w:val="24"/>
                <w:szCs w:val="24"/>
              </w:rPr>
            </w:pPr>
          </w:p>
          <w:p>
            <w:pPr>
              <w:pStyle w:val="40"/>
              <w:widowControl/>
              <w:ind w:left="442" w:right="413"/>
              <w:jc w:val="center"/>
              <w:rPr>
                <w:rFonts w:hint="default"/>
                <w:sz w:val="24"/>
                <w:szCs w:val="24"/>
              </w:rPr>
            </w:pPr>
            <w:r>
              <w:rPr>
                <w:rFonts w:hint="default" w:cs="宋体"/>
                <w:sz w:val="24"/>
                <w:szCs w:val="24"/>
              </w:rPr>
              <w:t>0.60</w:t>
            </w:r>
          </w:p>
        </w:tc>
        <w:tc>
          <w:tcPr>
            <w:tcW w:w="1782" w:type="dxa"/>
            <w:tcBorders>
              <w:top w:val="single" w:color="000000" w:sz="6" w:space="0"/>
              <w:left w:val="nil"/>
              <w:bottom w:val="single" w:color="000000" w:sz="12" w:space="0"/>
              <w:right w:val="single" w:color="000000" w:sz="6" w:space="0"/>
            </w:tcBorders>
            <w:shd w:val="clear" w:color="auto" w:fill="auto"/>
          </w:tcPr>
          <w:p>
            <w:pPr>
              <w:pStyle w:val="40"/>
              <w:widowControl/>
              <w:spacing w:before="4"/>
              <w:rPr>
                <w:rFonts w:hint="default"/>
                <w:b/>
                <w:sz w:val="24"/>
                <w:szCs w:val="24"/>
              </w:rPr>
            </w:pPr>
          </w:p>
          <w:p>
            <w:pPr>
              <w:pStyle w:val="40"/>
              <w:widowControl/>
              <w:ind w:left="442" w:right="416"/>
              <w:jc w:val="center"/>
              <w:rPr>
                <w:rFonts w:hint="default"/>
                <w:sz w:val="24"/>
                <w:szCs w:val="24"/>
              </w:rPr>
            </w:pPr>
            <w:r>
              <w:rPr>
                <w:rFonts w:cs="宋体"/>
                <w:sz w:val="24"/>
                <w:szCs w:val="24"/>
              </w:rPr>
              <w:t>＜</w:t>
            </w:r>
            <w:r>
              <w:rPr>
                <w:rFonts w:hint="default" w:cs="宋体"/>
                <w:sz w:val="24"/>
                <w:szCs w:val="24"/>
              </w:rPr>
              <w:t>3</w:t>
            </w:r>
          </w:p>
        </w:tc>
        <w:tc>
          <w:tcPr>
            <w:tcW w:w="1780" w:type="dxa"/>
            <w:tcBorders>
              <w:top w:val="single" w:color="000000" w:sz="6" w:space="0"/>
              <w:left w:val="nil"/>
              <w:bottom w:val="single" w:color="000000" w:sz="12" w:space="0"/>
              <w:right w:val="single" w:color="000000" w:sz="12" w:space="0"/>
            </w:tcBorders>
            <w:shd w:val="clear" w:color="auto" w:fill="auto"/>
          </w:tcPr>
          <w:p>
            <w:pPr>
              <w:pStyle w:val="40"/>
              <w:widowControl/>
              <w:spacing w:before="5"/>
              <w:rPr>
                <w:rFonts w:hint="default"/>
                <w:b/>
                <w:sz w:val="24"/>
                <w:szCs w:val="24"/>
              </w:rPr>
            </w:pPr>
          </w:p>
          <w:p>
            <w:pPr>
              <w:pStyle w:val="40"/>
              <w:widowControl/>
              <w:ind w:left="338" w:right="301"/>
              <w:jc w:val="center"/>
              <w:rPr>
                <w:rFonts w:hint="default"/>
                <w:sz w:val="24"/>
                <w:szCs w:val="24"/>
              </w:rPr>
            </w:pPr>
            <w:r>
              <w:rPr>
                <w:rFonts w:hint="default" w:cs="宋体"/>
                <w:sz w:val="24"/>
                <w:szCs w:val="24"/>
              </w:rPr>
              <w:t>6.82</w:t>
            </w:r>
          </w:p>
        </w:tc>
      </w:tr>
    </w:tbl>
    <w:p>
      <w:pPr>
        <w:pStyle w:val="11"/>
        <w:spacing w:before="12"/>
        <w:rPr>
          <w:b/>
          <w:szCs w:val="24"/>
        </w:rPr>
      </w:pPr>
      <w:r>
        <w:rPr>
          <w:rFonts w:hint="eastAsia"/>
          <w:b/>
          <w:szCs w:val="24"/>
          <w:lang w:val="en-US" w:bidi="ar"/>
        </w:rPr>
        <w:t xml:space="preserve"> </w:t>
      </w:r>
    </w:p>
    <w:p>
      <w:pPr>
        <w:spacing w:line="620" w:lineRule="exact"/>
        <w:ind w:firstLine="600" w:firstLineChars="200"/>
        <w:jc w:val="both"/>
        <w:rPr>
          <w:sz w:val="30"/>
          <w:szCs w:val="30"/>
          <w:lang w:val="en-US" w:bidi="ar"/>
        </w:rPr>
      </w:pPr>
      <w:r>
        <w:rPr>
          <w:rFonts w:hint="eastAsia"/>
          <w:sz w:val="30"/>
          <w:szCs w:val="30"/>
          <w:lang w:val="en-US" w:bidi="ar"/>
        </w:rPr>
        <w:t>由表 3-4 可知，评估区预测地面塌陷区地表最大下沉量为 6.82m。</w:t>
      </w:r>
    </w:p>
    <w:p>
      <w:pPr>
        <w:spacing w:line="620" w:lineRule="exact"/>
        <w:ind w:firstLine="602" w:firstLineChars="200"/>
        <w:jc w:val="both"/>
        <w:rPr>
          <w:b/>
          <w:sz w:val="30"/>
          <w:szCs w:val="30"/>
        </w:rPr>
      </w:pPr>
      <w:r>
        <w:rPr>
          <w:rFonts w:hint="eastAsia"/>
          <w:b/>
          <w:sz w:val="30"/>
          <w:szCs w:val="30"/>
          <w:lang w:val="en-US" w:bidi="ar"/>
        </w:rPr>
        <w:t>二、预测地面塌陷地质灾害危险性分级</w:t>
      </w:r>
    </w:p>
    <w:p>
      <w:pPr>
        <w:pStyle w:val="11"/>
        <w:spacing w:line="620" w:lineRule="exact"/>
        <w:ind w:firstLine="600" w:firstLineChars="200"/>
        <w:jc w:val="both"/>
        <w:rPr>
          <w:sz w:val="30"/>
          <w:szCs w:val="30"/>
        </w:rPr>
      </w:pPr>
      <w:r>
        <w:rPr>
          <w:rFonts w:hint="eastAsia"/>
          <w:sz w:val="30"/>
          <w:szCs w:val="30"/>
          <w:lang w:val="en-US" w:bidi="ar"/>
        </w:rPr>
        <w:t xml:space="preserve">矿区范围内无居民分布，采矿引发的地面塌陷地质灾害可能对矿山井下采矿人员（约 </w:t>
      </w:r>
      <w:r>
        <w:rPr>
          <w:sz w:val="30"/>
          <w:szCs w:val="30"/>
          <w:lang w:val="en-US" w:bidi="ar"/>
        </w:rPr>
        <w:t xml:space="preserve">40 </w:t>
      </w:r>
      <w:r>
        <w:rPr>
          <w:rFonts w:hint="eastAsia"/>
          <w:sz w:val="30"/>
          <w:szCs w:val="30"/>
          <w:lang w:val="en-US" w:bidi="ar"/>
        </w:rPr>
        <w:t xml:space="preserve">人）和采矿机械设备构成威胁，对照《编制规范》附录 </w:t>
      </w:r>
      <w:r>
        <w:rPr>
          <w:sz w:val="30"/>
          <w:szCs w:val="30"/>
          <w:lang w:val="en-US" w:bidi="ar"/>
        </w:rPr>
        <w:t>E</w:t>
      </w:r>
      <w:r>
        <w:rPr>
          <w:rFonts w:hint="eastAsia"/>
          <w:sz w:val="30"/>
          <w:szCs w:val="30"/>
          <w:lang w:val="en-US" w:bidi="ar"/>
        </w:rPr>
        <w:t xml:space="preserve">、表 </w:t>
      </w:r>
      <w:r>
        <w:rPr>
          <w:sz w:val="30"/>
          <w:szCs w:val="30"/>
          <w:lang w:val="en-US" w:bidi="ar"/>
        </w:rPr>
        <w:t>E.2</w:t>
      </w:r>
      <w:r>
        <w:rPr>
          <w:rFonts w:hint="eastAsia"/>
          <w:sz w:val="30"/>
          <w:szCs w:val="30"/>
          <w:lang w:val="en-US" w:bidi="ar"/>
        </w:rPr>
        <w:t xml:space="preserve">，采矿引发的地面塌陷地质灾害危害程度较严重，隐患体处于较不稳定状态，对照《编制规范》附录 </w:t>
      </w:r>
      <w:r>
        <w:rPr>
          <w:sz w:val="30"/>
          <w:szCs w:val="30"/>
          <w:lang w:val="en-US" w:bidi="ar"/>
        </w:rPr>
        <w:t>F</w:t>
      </w:r>
      <w:r>
        <w:rPr>
          <w:rFonts w:hint="eastAsia"/>
          <w:sz w:val="30"/>
          <w:szCs w:val="30"/>
          <w:lang w:val="en-US" w:bidi="ar"/>
        </w:rPr>
        <w:t xml:space="preserve">、表 </w:t>
      </w:r>
      <w:r>
        <w:rPr>
          <w:sz w:val="30"/>
          <w:szCs w:val="30"/>
          <w:lang w:val="en-US" w:bidi="ar"/>
        </w:rPr>
        <w:t>F.1</w:t>
      </w:r>
      <w:r>
        <w:rPr>
          <w:rFonts w:hint="eastAsia"/>
          <w:sz w:val="30"/>
          <w:szCs w:val="30"/>
          <w:lang w:val="en-US" w:bidi="ar"/>
        </w:rPr>
        <w:t xml:space="preserve">，地质灾害危险性中等。 </w:t>
      </w:r>
    </w:p>
    <w:p>
      <w:pPr>
        <w:pStyle w:val="5"/>
        <w:widowControl/>
        <w:numPr>
          <w:ilvl w:val="2"/>
          <w:numId w:val="11"/>
        </w:numPr>
        <w:spacing w:line="620" w:lineRule="exact"/>
        <w:ind w:left="0" w:firstLine="602" w:firstLineChars="200"/>
        <w:jc w:val="both"/>
        <w:rPr>
          <w:rFonts w:hint="default" w:cs="宋体"/>
          <w:sz w:val="30"/>
          <w:szCs w:val="30"/>
        </w:rPr>
      </w:pPr>
      <w:r>
        <w:rPr>
          <w:rFonts w:cs="宋体"/>
          <w:sz w:val="30"/>
          <w:szCs w:val="30"/>
        </w:rPr>
        <w:t>矿山开采占用破坏土地、植被预测</w:t>
      </w:r>
    </w:p>
    <w:p>
      <w:pPr>
        <w:pStyle w:val="11"/>
        <w:spacing w:line="620" w:lineRule="exact"/>
        <w:ind w:firstLine="600" w:firstLineChars="200"/>
        <w:jc w:val="both"/>
        <w:rPr>
          <w:sz w:val="30"/>
          <w:szCs w:val="30"/>
        </w:rPr>
      </w:pPr>
      <w:r>
        <w:rPr>
          <w:rFonts w:hint="eastAsia"/>
          <w:sz w:val="30"/>
          <w:szCs w:val="30"/>
          <w:lang w:val="en-US" w:bidi="ar"/>
        </w:rPr>
        <w:t>预测矿山开采新增占用、破坏土地、植被资源主要为地下开采可能引发的地面塌陷坑（群）。</w:t>
      </w:r>
    </w:p>
    <w:p>
      <w:pPr>
        <w:pStyle w:val="11"/>
        <w:spacing w:line="620" w:lineRule="exact"/>
        <w:ind w:firstLine="600" w:firstLineChars="200"/>
        <w:jc w:val="both"/>
        <w:rPr>
          <w:sz w:val="30"/>
          <w:szCs w:val="30"/>
        </w:rPr>
      </w:pPr>
      <w:r>
        <w:rPr>
          <w:rFonts w:hint="eastAsia"/>
          <w:sz w:val="30"/>
          <w:szCs w:val="30"/>
          <w:lang w:val="en-US" w:bidi="ar"/>
        </w:rPr>
        <w:t xml:space="preserve">根据《地质灾害危险性评估说明书》预测结果，8、9-1、9-2、10、16-1、16-2、16-3、17 中煤层充分开采后，可能引发的地面塌陷变形区面积为 </w:t>
      </w:r>
      <w:r>
        <w:rPr>
          <w:sz w:val="30"/>
          <w:szCs w:val="30"/>
          <w:lang w:val="en-US" w:bidi="ar"/>
        </w:rPr>
        <w:t>0.6497km</w:t>
      </w:r>
      <w:r>
        <w:rPr>
          <w:sz w:val="30"/>
          <w:szCs w:val="30"/>
          <w:vertAlign w:val="superscript"/>
          <w:lang w:val="en-US" w:bidi="ar"/>
        </w:rPr>
        <w:t>2</w:t>
      </w:r>
      <w:r>
        <w:rPr>
          <w:rFonts w:hint="eastAsia"/>
          <w:sz w:val="30"/>
          <w:szCs w:val="30"/>
          <w:lang w:val="en-US" w:bidi="ar"/>
        </w:rPr>
        <w:t xml:space="preserve">。因此， 未来矿山开采引发的地面塌陷破坏土地面积为 </w:t>
      </w:r>
      <w:r>
        <w:rPr>
          <w:sz w:val="30"/>
          <w:szCs w:val="30"/>
          <w:lang w:val="en-US" w:bidi="ar"/>
        </w:rPr>
        <w:t>0.6497km</w:t>
      </w:r>
      <w:r>
        <w:rPr>
          <w:sz w:val="30"/>
          <w:szCs w:val="30"/>
          <w:vertAlign w:val="superscript"/>
          <w:lang w:val="en-US" w:bidi="ar"/>
        </w:rPr>
        <w:t>2</w:t>
      </w:r>
      <w:r>
        <w:rPr>
          <w:rFonts w:hint="eastAsia"/>
          <w:sz w:val="30"/>
          <w:szCs w:val="30"/>
          <w:lang w:val="en-US" w:bidi="ar"/>
        </w:rPr>
        <w:t>,破坏的土地类型为天然草地，破坏植被类型主要为干旱草原植被。</w:t>
      </w:r>
    </w:p>
    <w:p>
      <w:pPr>
        <w:pStyle w:val="11"/>
        <w:spacing w:line="620" w:lineRule="exact"/>
        <w:ind w:firstLine="600" w:firstLineChars="200"/>
        <w:jc w:val="both"/>
        <w:rPr>
          <w:sz w:val="30"/>
          <w:szCs w:val="30"/>
        </w:rPr>
      </w:pPr>
      <w:r>
        <w:rPr>
          <w:rFonts w:hint="eastAsia"/>
          <w:sz w:val="30"/>
          <w:szCs w:val="30"/>
          <w:lang w:val="en-US" w:bidi="ar"/>
        </w:rPr>
        <w:t xml:space="preserve"> </w:t>
      </w:r>
      <w:r>
        <w:rPr>
          <w:sz w:val="30"/>
          <w:szCs w:val="30"/>
        </w:rPr>
        <w:t>矿山开采对矿区及区域水资源、水环境的影响预测</w:t>
      </w:r>
      <w:r>
        <w:rPr>
          <w:rFonts w:hint="eastAsia"/>
          <w:sz w:val="30"/>
          <w:szCs w:val="30"/>
          <w:lang w:val="en-US" w:bidi="ar"/>
        </w:rPr>
        <w:t>预测未来矿山开采过程中最大疏干水量为 384m</w:t>
      </w:r>
      <w:r>
        <w:rPr>
          <w:sz w:val="30"/>
          <w:szCs w:val="30"/>
          <w:vertAlign w:val="superscript"/>
          <w:lang w:val="en-US" w:bidi="ar"/>
        </w:rPr>
        <w:t>3</w:t>
      </w:r>
      <w:r>
        <w:rPr>
          <w:rFonts w:hint="eastAsia"/>
          <w:sz w:val="30"/>
          <w:szCs w:val="30"/>
          <w:lang w:val="en-US" w:bidi="ar"/>
        </w:rPr>
        <w:t>/d。因此，未来矿山开采对矿区及区域水资源的影响较小。</w:t>
      </w:r>
    </w:p>
    <w:p>
      <w:pPr>
        <w:pStyle w:val="11"/>
        <w:spacing w:line="620" w:lineRule="exact"/>
        <w:ind w:firstLine="600" w:firstLineChars="200"/>
        <w:jc w:val="both"/>
        <w:rPr>
          <w:sz w:val="30"/>
          <w:szCs w:val="30"/>
        </w:rPr>
      </w:pPr>
      <w:r>
        <w:rPr>
          <w:rFonts w:hint="eastAsia"/>
          <w:sz w:val="30"/>
          <w:szCs w:val="30"/>
          <w:lang w:val="en-US" w:bidi="ar"/>
        </w:rPr>
        <w:t>矿区生产、生活污水排放量较少，且处理后达标排放，基本无污染。因此，预测矿山开采对矿区及区域水环境的影响小。</w:t>
      </w:r>
      <w:r>
        <w:rPr>
          <w:sz w:val="30"/>
          <w:szCs w:val="30"/>
        </w:rPr>
        <w:t>矿山环境影响预测评估</w:t>
      </w:r>
    </w:p>
    <w:p>
      <w:pPr>
        <w:pStyle w:val="11"/>
        <w:spacing w:line="620" w:lineRule="exact"/>
        <w:ind w:firstLine="602" w:firstLineChars="200"/>
        <w:jc w:val="both"/>
        <w:rPr>
          <w:sz w:val="30"/>
          <w:szCs w:val="30"/>
        </w:rPr>
      </w:pPr>
      <w:r>
        <w:rPr>
          <w:rFonts w:hint="eastAsia"/>
          <w:b/>
          <w:sz w:val="30"/>
          <w:szCs w:val="30"/>
          <w:lang w:val="en-US" w:bidi="ar"/>
        </w:rPr>
        <w:t xml:space="preserve"> </w:t>
      </w:r>
      <w:r>
        <w:rPr>
          <w:rFonts w:hint="eastAsia"/>
          <w:sz w:val="30"/>
          <w:szCs w:val="30"/>
          <w:lang w:val="en-US" w:bidi="ar"/>
        </w:rPr>
        <w:t>根据矿山开采可能引发的地质灾害影响对象、危害程度以及矿业活动影响的土地资源类型、对水资源、水环境的影响程度和防治难度等评估要素，现对预测地面塌陷区、工业场地、办公区和储煤场进行矿山环境影响预测评估（见表 3-6）。</w:t>
      </w:r>
    </w:p>
    <w:p>
      <w:pPr>
        <w:pStyle w:val="5"/>
        <w:widowControl/>
        <w:spacing w:line="620" w:lineRule="exact"/>
        <w:ind w:left="0" w:firstLine="602" w:firstLineChars="200"/>
        <w:jc w:val="both"/>
        <w:rPr>
          <w:rFonts w:hint="default" w:cs="宋体"/>
          <w:sz w:val="30"/>
          <w:szCs w:val="30"/>
        </w:rPr>
      </w:pPr>
      <w:r>
        <w:rPr>
          <w:rFonts w:cs="宋体"/>
          <w:sz w:val="30"/>
          <w:szCs w:val="30"/>
        </w:rPr>
        <w:t>一、预测地面塌陷区</w:t>
      </w:r>
    </w:p>
    <w:p>
      <w:pPr>
        <w:pStyle w:val="11"/>
        <w:spacing w:line="620" w:lineRule="exact"/>
        <w:ind w:firstLine="600" w:firstLineChars="200"/>
        <w:jc w:val="both"/>
        <w:rPr>
          <w:sz w:val="30"/>
          <w:szCs w:val="30"/>
        </w:rPr>
      </w:pPr>
      <w:r>
        <w:rPr>
          <w:rFonts w:hint="eastAsia"/>
          <w:sz w:val="30"/>
          <w:szCs w:val="30"/>
          <w:lang w:val="en-US" w:bidi="ar"/>
        </w:rPr>
        <w:t>预测地面塌陷区面积 0.6497km</w:t>
      </w:r>
      <w:r>
        <w:rPr>
          <w:sz w:val="30"/>
          <w:szCs w:val="30"/>
          <w:vertAlign w:val="superscript"/>
          <w:lang w:val="en-US" w:bidi="ar"/>
        </w:rPr>
        <w:t>2</w:t>
      </w:r>
      <w:r>
        <w:rPr>
          <w:rFonts w:hint="eastAsia"/>
          <w:sz w:val="30"/>
          <w:szCs w:val="30"/>
          <w:lang w:val="en-US" w:bidi="ar"/>
        </w:rPr>
        <w:t>,占评估区总面积的 44.89%。</w:t>
      </w:r>
    </w:p>
    <w:p>
      <w:pPr>
        <w:pStyle w:val="11"/>
        <w:spacing w:line="620" w:lineRule="exact"/>
        <w:ind w:firstLine="600" w:firstLineChars="200"/>
        <w:jc w:val="both"/>
        <w:rPr>
          <w:sz w:val="30"/>
          <w:szCs w:val="30"/>
        </w:rPr>
      </w:pPr>
      <w:r>
        <w:rPr>
          <w:rFonts w:hint="eastAsia"/>
          <w:sz w:val="30"/>
          <w:szCs w:val="30"/>
          <w:lang w:val="en-US" w:bidi="ar"/>
        </w:rPr>
        <w:t>该区矿山开采引发的地质灾害为地面塌陷，地质灾害危害程度“较严重”，危险性中等；破坏土地面积 0.6497km</w:t>
      </w:r>
      <w:r>
        <w:rPr>
          <w:sz w:val="30"/>
          <w:szCs w:val="30"/>
          <w:vertAlign w:val="superscript"/>
          <w:lang w:val="en-US" w:bidi="ar"/>
        </w:rPr>
        <w:t>2</w:t>
      </w:r>
      <w:r>
        <w:rPr>
          <w:rFonts w:hint="eastAsia"/>
          <w:sz w:val="30"/>
          <w:szCs w:val="30"/>
          <w:lang w:val="en-US" w:bidi="ar"/>
        </w:rPr>
        <w:t>，破坏的土地类型主要为天然草地，破坏的植被类型为干旱草原植被，对土地、植被资源的影响程度“较轻”；井下疏干排水不会造成矿区及区域地表水漏失、泉井干涸等现象，不影响当地生产生活，对水资源、水环境影响程度“较轻”；防治难度较小。预测评估为矿山环境影响“较严重区”。</w:t>
      </w:r>
    </w:p>
    <w:p>
      <w:pPr>
        <w:pStyle w:val="5"/>
        <w:widowControl/>
        <w:spacing w:line="620" w:lineRule="exact"/>
        <w:ind w:left="0" w:firstLine="602" w:firstLineChars="200"/>
        <w:jc w:val="both"/>
        <w:rPr>
          <w:rFonts w:hint="default" w:cs="宋体"/>
          <w:sz w:val="30"/>
          <w:szCs w:val="30"/>
        </w:rPr>
      </w:pPr>
      <w:r>
        <w:rPr>
          <w:rFonts w:cs="宋体"/>
          <w:sz w:val="30"/>
          <w:szCs w:val="30"/>
        </w:rPr>
        <w:t>二、储煤场</w:t>
      </w:r>
    </w:p>
    <w:p>
      <w:pPr>
        <w:pStyle w:val="11"/>
        <w:spacing w:line="620" w:lineRule="exact"/>
        <w:ind w:firstLine="600" w:firstLineChars="200"/>
        <w:jc w:val="both"/>
        <w:rPr>
          <w:color w:val="auto"/>
          <w:sz w:val="30"/>
          <w:szCs w:val="30"/>
        </w:rPr>
      </w:pPr>
      <w:r>
        <w:rPr>
          <w:rFonts w:hint="eastAsia"/>
          <w:color w:val="auto"/>
          <w:sz w:val="30"/>
          <w:szCs w:val="30"/>
          <w:lang w:val="en-US" w:eastAsia="zh-CN" w:bidi="ar"/>
        </w:rPr>
        <w:t>储煤场位于矿区中部，占地</w:t>
      </w:r>
      <w:r>
        <w:rPr>
          <w:rFonts w:hint="eastAsia"/>
          <w:color w:val="auto"/>
          <w:sz w:val="30"/>
          <w:szCs w:val="30"/>
          <w:lang w:val="en-US" w:bidi="ar"/>
        </w:rPr>
        <w:t>面积 0.00</w:t>
      </w:r>
      <w:r>
        <w:rPr>
          <w:rFonts w:hint="eastAsia"/>
          <w:color w:val="auto"/>
          <w:sz w:val="30"/>
          <w:szCs w:val="30"/>
          <w:lang w:val="en-US" w:eastAsia="zh-CN" w:bidi="ar"/>
        </w:rPr>
        <w:t>57</w:t>
      </w:r>
      <w:r>
        <w:rPr>
          <w:rFonts w:hint="eastAsia"/>
          <w:color w:val="auto"/>
          <w:sz w:val="30"/>
          <w:szCs w:val="30"/>
          <w:lang w:val="en-US" w:bidi="ar"/>
        </w:rPr>
        <w:t>km</w:t>
      </w:r>
      <w:r>
        <w:rPr>
          <w:color w:val="auto"/>
          <w:sz w:val="30"/>
          <w:szCs w:val="30"/>
          <w:vertAlign w:val="superscript"/>
          <w:lang w:val="en-US" w:bidi="ar"/>
        </w:rPr>
        <w:t>2</w:t>
      </w:r>
      <w:r>
        <w:rPr>
          <w:rFonts w:hint="eastAsia"/>
          <w:color w:val="auto"/>
          <w:sz w:val="30"/>
          <w:szCs w:val="30"/>
          <w:lang w:val="en-US" w:bidi="ar"/>
        </w:rPr>
        <w:t>。</w:t>
      </w:r>
    </w:p>
    <w:p>
      <w:pPr>
        <w:pStyle w:val="11"/>
        <w:spacing w:line="620" w:lineRule="exact"/>
        <w:ind w:firstLine="600" w:firstLineChars="200"/>
        <w:jc w:val="both"/>
        <w:rPr>
          <w:sz w:val="30"/>
          <w:szCs w:val="30"/>
        </w:rPr>
      </w:pPr>
      <w:r>
        <w:rPr>
          <w:rFonts w:hint="eastAsia"/>
          <w:color w:val="auto"/>
          <w:sz w:val="30"/>
          <w:szCs w:val="30"/>
          <w:lang w:val="en-US" w:bidi="ar"/>
        </w:rPr>
        <w:t xml:space="preserve">该区地质灾害不发育；占用土地面积 </w:t>
      </w:r>
      <w:r>
        <w:rPr>
          <w:rFonts w:ascii="Times New Roman" w:hAnsi="Times New Roman"/>
          <w:color w:val="auto"/>
          <w:sz w:val="30"/>
          <w:szCs w:val="30"/>
          <w:lang w:val="en-US" w:bidi="ar"/>
        </w:rPr>
        <w:t>0.00</w:t>
      </w:r>
      <w:r>
        <w:rPr>
          <w:rFonts w:hint="eastAsia" w:ascii="Times New Roman" w:hAnsi="Times New Roman"/>
          <w:color w:val="auto"/>
          <w:sz w:val="30"/>
          <w:szCs w:val="30"/>
          <w:lang w:val="en-US" w:eastAsia="zh-CN" w:bidi="ar"/>
        </w:rPr>
        <w:t>57</w:t>
      </w:r>
      <w:r>
        <w:rPr>
          <w:rFonts w:ascii="Times New Roman" w:hAnsi="Times New Roman"/>
          <w:color w:val="auto"/>
          <w:sz w:val="30"/>
          <w:szCs w:val="30"/>
          <w:lang w:val="en-US" w:bidi="ar"/>
        </w:rPr>
        <w:t>km</w:t>
      </w:r>
      <w:r>
        <w:rPr>
          <w:rFonts w:ascii="Times New Roman" w:hAnsi="Times New Roman"/>
          <w:color w:val="auto"/>
          <w:sz w:val="30"/>
          <w:szCs w:val="30"/>
          <w:vertAlign w:val="superscript"/>
          <w:lang w:val="en-US" w:bidi="ar"/>
        </w:rPr>
        <w:t>2</w:t>
      </w:r>
      <w:r>
        <w:rPr>
          <w:rFonts w:hint="eastAsia"/>
          <w:color w:val="auto"/>
          <w:sz w:val="30"/>
          <w:szCs w:val="30"/>
          <w:lang w:val="en-US" w:bidi="ar"/>
        </w:rPr>
        <w:t>，占用的土地类型为</w:t>
      </w:r>
      <w:r>
        <w:rPr>
          <w:rFonts w:hint="eastAsia"/>
          <w:color w:val="auto"/>
          <w:sz w:val="30"/>
          <w:szCs w:val="30"/>
          <w:lang w:val="en-US" w:eastAsia="zh-CN" w:bidi="ar"/>
        </w:rPr>
        <w:t>荒草地</w:t>
      </w:r>
      <w:r>
        <w:rPr>
          <w:rFonts w:hint="eastAsia"/>
          <w:color w:val="auto"/>
          <w:sz w:val="30"/>
          <w:szCs w:val="30"/>
          <w:lang w:val="en-US" w:bidi="ar"/>
        </w:rPr>
        <w:t>， 破坏的植被类型为干旱</w:t>
      </w:r>
      <w:r>
        <w:rPr>
          <w:rFonts w:hint="eastAsia"/>
          <w:color w:val="auto"/>
          <w:sz w:val="30"/>
          <w:szCs w:val="30"/>
          <w:lang w:val="en-US" w:eastAsia="zh-CN" w:bidi="ar"/>
        </w:rPr>
        <w:t>荒地</w:t>
      </w:r>
      <w:r>
        <w:rPr>
          <w:rFonts w:hint="eastAsia"/>
          <w:color w:val="auto"/>
          <w:sz w:val="30"/>
          <w:szCs w:val="30"/>
          <w:lang w:val="en-US" w:bidi="ar"/>
        </w:rPr>
        <w:t>植被，对土</w:t>
      </w:r>
      <w:r>
        <w:rPr>
          <w:rFonts w:hint="eastAsia"/>
          <w:sz w:val="30"/>
          <w:szCs w:val="30"/>
          <w:lang w:val="en-US" w:bidi="ar"/>
        </w:rPr>
        <w:t>地、植被资源的影响程度“较轻”；对水资源、水环境影响程度“较轻”；防治难度小。预测评估为矿山环境影响“较轻区”。</w:t>
      </w:r>
    </w:p>
    <w:p>
      <w:pPr>
        <w:pStyle w:val="5"/>
        <w:widowControl/>
        <w:spacing w:line="620" w:lineRule="exact"/>
        <w:ind w:left="0" w:firstLine="602" w:firstLineChars="200"/>
        <w:jc w:val="both"/>
        <w:rPr>
          <w:rFonts w:hint="default" w:cs="宋体"/>
          <w:sz w:val="30"/>
          <w:szCs w:val="30"/>
        </w:rPr>
      </w:pPr>
      <w:r>
        <w:rPr>
          <w:rFonts w:cs="宋体"/>
          <w:sz w:val="30"/>
          <w:szCs w:val="30"/>
        </w:rPr>
        <w:t>三、工业场地</w:t>
      </w:r>
    </w:p>
    <w:p>
      <w:pPr>
        <w:pStyle w:val="11"/>
        <w:spacing w:line="620" w:lineRule="exact"/>
        <w:ind w:firstLine="600" w:firstLineChars="200"/>
        <w:jc w:val="both"/>
        <w:rPr>
          <w:sz w:val="30"/>
          <w:szCs w:val="30"/>
        </w:rPr>
      </w:pPr>
      <w:r>
        <w:rPr>
          <w:rFonts w:hint="eastAsia"/>
          <w:sz w:val="30"/>
          <w:szCs w:val="30"/>
          <w:lang w:val="en-US" w:bidi="ar"/>
        </w:rPr>
        <w:t>分布于工业场地，面积 0.0103km</w:t>
      </w:r>
      <w:r>
        <w:rPr>
          <w:sz w:val="30"/>
          <w:szCs w:val="30"/>
          <w:vertAlign w:val="superscript"/>
          <w:lang w:val="en-US" w:bidi="ar"/>
        </w:rPr>
        <w:t>2</w:t>
      </w:r>
      <w:r>
        <w:rPr>
          <w:rFonts w:hint="eastAsia"/>
          <w:sz w:val="30"/>
          <w:szCs w:val="30"/>
          <w:lang w:val="en-US" w:bidi="ar"/>
        </w:rPr>
        <w:t>。</w:t>
      </w:r>
    </w:p>
    <w:p>
      <w:pPr>
        <w:pStyle w:val="11"/>
        <w:spacing w:line="620" w:lineRule="exact"/>
        <w:ind w:firstLine="600" w:firstLineChars="200"/>
        <w:jc w:val="both"/>
        <w:rPr>
          <w:sz w:val="30"/>
          <w:szCs w:val="30"/>
        </w:rPr>
      </w:pPr>
      <w:r>
        <w:rPr>
          <w:rFonts w:hint="eastAsia"/>
          <w:sz w:val="30"/>
          <w:szCs w:val="30"/>
          <w:lang w:val="en-US" w:bidi="ar"/>
        </w:rPr>
        <w:t xml:space="preserve">该区地质灾害不发育；占用土地面积 </w:t>
      </w:r>
      <w:r>
        <w:rPr>
          <w:rFonts w:hint="eastAsia" w:asciiTheme="majorEastAsia" w:hAnsiTheme="majorEastAsia" w:eastAsiaTheme="majorEastAsia" w:cstheme="majorEastAsia"/>
          <w:sz w:val="30"/>
          <w:szCs w:val="30"/>
          <w:lang w:val="en-US" w:bidi="ar"/>
        </w:rPr>
        <w:t>0.0103km</w:t>
      </w:r>
      <w:r>
        <w:rPr>
          <w:rFonts w:hint="eastAsia" w:asciiTheme="majorEastAsia" w:hAnsiTheme="majorEastAsia" w:eastAsiaTheme="majorEastAsia" w:cstheme="majorEastAsia"/>
          <w:sz w:val="30"/>
          <w:szCs w:val="30"/>
          <w:vertAlign w:val="superscript"/>
          <w:lang w:val="en-US" w:bidi="ar"/>
        </w:rPr>
        <w:t>2</w:t>
      </w:r>
      <w:r>
        <w:rPr>
          <w:rFonts w:hint="eastAsia"/>
          <w:sz w:val="30"/>
          <w:szCs w:val="30"/>
          <w:lang w:val="en-US" w:bidi="ar"/>
        </w:rPr>
        <w:t>，占用的土地类型为天然草地， 破坏的植被类型为干旱草原植被，对土地、植被资源的影响程度“较轻”；矿业活动不会造成矿区及区域地表水漏失、泉井干涸等现象，不影响当地生产生活，对水资源、水环境影响程度“较轻”；无需防治。预测评估为矿山环境影响“较轻区”。</w:t>
      </w:r>
    </w:p>
    <w:p>
      <w:pPr>
        <w:pStyle w:val="5"/>
        <w:widowControl/>
        <w:spacing w:line="620" w:lineRule="exact"/>
        <w:ind w:left="0" w:firstLine="602" w:firstLineChars="200"/>
        <w:jc w:val="both"/>
        <w:rPr>
          <w:rFonts w:hint="default" w:cs="宋体"/>
          <w:sz w:val="30"/>
          <w:szCs w:val="30"/>
        </w:rPr>
      </w:pPr>
      <w:r>
        <w:rPr>
          <w:rFonts w:cs="宋体"/>
          <w:sz w:val="30"/>
          <w:szCs w:val="30"/>
        </w:rPr>
        <w:t>四、办公区</w:t>
      </w:r>
    </w:p>
    <w:p>
      <w:pPr>
        <w:pStyle w:val="11"/>
        <w:spacing w:line="620" w:lineRule="exact"/>
        <w:ind w:firstLine="600" w:firstLineChars="200"/>
        <w:jc w:val="both"/>
        <w:rPr>
          <w:sz w:val="30"/>
          <w:szCs w:val="30"/>
        </w:rPr>
      </w:pPr>
      <w:r>
        <w:rPr>
          <w:rFonts w:hint="eastAsia"/>
          <w:sz w:val="30"/>
          <w:szCs w:val="30"/>
          <w:lang w:val="en-US" w:bidi="ar"/>
        </w:rPr>
        <w:t>分布于办公区，面积 0.0016km</w:t>
      </w:r>
      <w:r>
        <w:rPr>
          <w:sz w:val="30"/>
          <w:szCs w:val="30"/>
          <w:vertAlign w:val="superscript"/>
          <w:lang w:val="en-US" w:bidi="ar"/>
        </w:rPr>
        <w:t>2</w:t>
      </w:r>
      <w:r>
        <w:rPr>
          <w:rFonts w:hint="eastAsia"/>
          <w:sz w:val="30"/>
          <w:szCs w:val="30"/>
          <w:lang w:val="en-US" w:bidi="ar"/>
        </w:rPr>
        <w:t>。</w:t>
      </w:r>
    </w:p>
    <w:p>
      <w:pPr>
        <w:pStyle w:val="11"/>
        <w:spacing w:line="620" w:lineRule="exact"/>
        <w:ind w:firstLine="600" w:firstLineChars="200"/>
        <w:jc w:val="both"/>
        <w:rPr>
          <w:rFonts w:hint="eastAsia"/>
          <w:sz w:val="30"/>
          <w:szCs w:val="30"/>
          <w:lang w:val="en-US" w:bidi="ar"/>
        </w:rPr>
      </w:pPr>
      <w:r>
        <w:rPr>
          <w:rFonts w:hint="eastAsia"/>
          <w:sz w:val="30"/>
          <w:szCs w:val="30"/>
          <w:lang w:val="en-US" w:bidi="ar"/>
        </w:rPr>
        <w:t>该区地质灾害不发育；占用土地面积</w:t>
      </w:r>
      <w:r>
        <w:rPr>
          <w:rFonts w:hint="eastAsia" w:ascii="宋体" w:hAnsi="宋体" w:eastAsia="宋体" w:cs="宋体"/>
          <w:sz w:val="30"/>
          <w:szCs w:val="30"/>
          <w:lang w:val="en-US" w:bidi="ar"/>
        </w:rPr>
        <w:t xml:space="preserve"> 0.0016km</w:t>
      </w:r>
      <w:r>
        <w:rPr>
          <w:rFonts w:hint="eastAsia" w:ascii="宋体" w:hAnsi="宋体" w:eastAsia="宋体" w:cs="宋体"/>
          <w:sz w:val="30"/>
          <w:szCs w:val="30"/>
          <w:vertAlign w:val="superscript"/>
          <w:lang w:val="en-US" w:bidi="ar"/>
        </w:rPr>
        <w:t>2</w:t>
      </w:r>
      <w:r>
        <w:rPr>
          <w:rFonts w:hint="eastAsia" w:ascii="宋体" w:hAnsi="宋体" w:eastAsia="宋体" w:cs="宋体"/>
          <w:sz w:val="30"/>
          <w:szCs w:val="30"/>
          <w:lang w:val="en-US" w:bidi="ar"/>
        </w:rPr>
        <w:t>，</w:t>
      </w:r>
      <w:r>
        <w:rPr>
          <w:rFonts w:hint="eastAsia"/>
          <w:sz w:val="30"/>
          <w:szCs w:val="30"/>
          <w:lang w:val="en-US" w:bidi="ar"/>
        </w:rPr>
        <w:t>占用的土地类型为天然草地， 破坏的植被类型为干旱草原植被，对土地、植被资源的影响程度“较轻”；矿业活动不会造成矿区及区域地表水漏失、泉井干涸等现象，不影响当地生产生活，对水资源、水环境影响程度“较轻”；无需防治。预测评估为矿山环境影响“较轻区”。</w:t>
      </w:r>
    </w:p>
    <w:p>
      <w:pPr>
        <w:pStyle w:val="11"/>
        <w:spacing w:line="620" w:lineRule="exact"/>
        <w:ind w:firstLine="600" w:firstLineChars="200"/>
        <w:jc w:val="both"/>
        <w:rPr>
          <w:rFonts w:hint="eastAsia"/>
          <w:sz w:val="30"/>
          <w:szCs w:val="30"/>
          <w:lang w:val="en-US" w:bidi="ar"/>
        </w:rPr>
      </w:pPr>
    </w:p>
    <w:p>
      <w:pPr>
        <w:pStyle w:val="11"/>
        <w:spacing w:line="620" w:lineRule="exact"/>
        <w:jc w:val="center"/>
        <w:outlineLvl w:val="1"/>
        <w:rPr>
          <w:sz w:val="30"/>
          <w:szCs w:val="30"/>
        </w:rPr>
      </w:pPr>
      <w:bookmarkStart w:id="13" w:name="_Toc3698"/>
      <w:r>
        <w:rPr>
          <w:rFonts w:hint="eastAsia" w:cs="黑体"/>
          <w:sz w:val="30"/>
          <w:szCs w:val="30"/>
        </w:rPr>
        <w:t>第四节  矿山环境影响综合评估</w:t>
      </w:r>
      <w:bookmarkEnd w:id="13"/>
    </w:p>
    <w:p>
      <w:pPr>
        <w:pStyle w:val="11"/>
        <w:spacing w:line="620" w:lineRule="exact"/>
        <w:ind w:firstLine="600" w:firstLineChars="200"/>
        <w:jc w:val="both"/>
        <w:rPr>
          <w:sz w:val="30"/>
          <w:szCs w:val="30"/>
        </w:rPr>
      </w:pPr>
      <w:r>
        <w:rPr>
          <w:rFonts w:hint="eastAsia"/>
          <w:sz w:val="30"/>
          <w:szCs w:val="30"/>
          <w:lang w:val="en-US" w:bidi="ar"/>
        </w:rPr>
        <w:t xml:space="preserve">依据矿山环境影响现状评估与预测评估结果，综合评估将矿业活动对矿山环境影响程度划分为较严重区、较轻区和评估区内其余地区三个区，见表 </w:t>
      </w:r>
      <w:r>
        <w:rPr>
          <w:rFonts w:ascii="Times New Roman"/>
          <w:sz w:val="30"/>
          <w:szCs w:val="30"/>
          <w:lang w:val="en-US" w:bidi="ar"/>
        </w:rPr>
        <w:t>3-7</w:t>
      </w:r>
      <w:r>
        <w:rPr>
          <w:rFonts w:hint="eastAsia"/>
          <w:sz w:val="30"/>
          <w:szCs w:val="30"/>
          <w:lang w:val="en-US" w:bidi="ar"/>
        </w:rPr>
        <w:t>。</w:t>
      </w:r>
    </w:p>
    <w:p>
      <w:pPr>
        <w:spacing w:before="121"/>
        <w:jc w:val="center"/>
        <w:rPr>
          <w:b/>
          <w:sz w:val="21"/>
          <w:szCs w:val="21"/>
        </w:rPr>
      </w:pPr>
      <w:r>
        <w:rPr>
          <w:rFonts w:hint="eastAsia"/>
          <w:b/>
          <w:sz w:val="24"/>
          <w:szCs w:val="24"/>
          <w:lang w:val="en-US" w:bidi="ar"/>
        </w:rPr>
        <w:t>矿山环境影响综合评估表</w:t>
      </w:r>
      <w:r>
        <w:rPr>
          <w:rFonts w:hint="eastAsia"/>
          <w:b/>
          <w:sz w:val="24"/>
          <w:szCs w:val="24"/>
          <w:lang w:val="en-US" w:bidi="ar"/>
        </w:rPr>
        <w:tab/>
      </w:r>
      <w:r>
        <w:rPr>
          <w:rFonts w:hint="eastAsia"/>
          <w:b/>
          <w:sz w:val="21"/>
          <w:szCs w:val="21"/>
          <w:lang w:val="en-US" w:bidi="ar"/>
        </w:rPr>
        <w:t>表</w:t>
      </w:r>
      <w:r>
        <w:rPr>
          <w:rFonts w:hint="eastAsia"/>
          <w:b/>
          <w:spacing w:val="-55"/>
          <w:sz w:val="21"/>
          <w:szCs w:val="21"/>
          <w:lang w:val="en-US" w:bidi="ar"/>
        </w:rPr>
        <w:t xml:space="preserve"> </w:t>
      </w:r>
      <w:r>
        <w:rPr>
          <w:rFonts w:hint="eastAsia"/>
          <w:b/>
          <w:sz w:val="21"/>
          <w:szCs w:val="21"/>
          <w:lang w:val="en-US" w:bidi="ar"/>
        </w:rPr>
        <w:t>3-7</w:t>
      </w:r>
    </w:p>
    <w:p>
      <w:pPr>
        <w:pStyle w:val="11"/>
        <w:spacing w:before="3"/>
        <w:rPr>
          <w:b/>
          <w:sz w:val="12"/>
          <w:szCs w:val="12"/>
        </w:rPr>
      </w:pPr>
      <w:r>
        <w:rPr>
          <w:rFonts w:hint="eastAsia"/>
          <w:b/>
          <w:sz w:val="12"/>
          <w:szCs w:val="12"/>
          <w:lang w:val="en-US" w:bidi="ar"/>
        </w:rPr>
        <w:t xml:space="preserve"> </w:t>
      </w:r>
    </w:p>
    <w:tbl>
      <w:tblPr>
        <w:tblStyle w:val="12"/>
        <w:tblW w:w="8727" w:type="dxa"/>
        <w:tblInd w:w="25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7"/>
        <w:gridCol w:w="1161"/>
        <w:gridCol w:w="1332"/>
        <w:gridCol w:w="1332"/>
        <w:gridCol w:w="1332"/>
        <w:gridCol w:w="977"/>
        <w:gridCol w:w="97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7" w:hRule="atLeast"/>
        </w:trPr>
        <w:tc>
          <w:tcPr>
            <w:tcW w:w="1617" w:type="dxa"/>
            <w:tcBorders>
              <w:top w:val="single" w:color="000000" w:sz="12" w:space="0"/>
              <w:left w:val="single" w:color="000000" w:sz="12" w:space="0"/>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位 置</w:t>
            </w:r>
          </w:p>
        </w:tc>
        <w:tc>
          <w:tcPr>
            <w:tcW w:w="1161"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面积</w:t>
            </w:r>
          </w:p>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pacing w:val="2"/>
                <w:sz w:val="21"/>
                <w:szCs w:val="21"/>
              </w:rPr>
              <w:t>（</w:t>
            </w:r>
            <w:r>
              <w:rPr>
                <w:rFonts w:cs="宋体"/>
                <w:spacing w:val="1"/>
                <w:sz w:val="21"/>
                <w:szCs w:val="21"/>
              </w:rPr>
              <w:t>k</w:t>
            </w:r>
            <w:r>
              <w:rPr>
                <w:rFonts w:cs="宋体"/>
                <w:spacing w:val="-2"/>
                <w:sz w:val="21"/>
                <w:szCs w:val="21"/>
              </w:rPr>
              <w:t>m</w:t>
            </w:r>
            <w:r>
              <w:rPr>
                <w:rFonts w:cs="宋体"/>
                <w:spacing w:val="-1"/>
                <w:position w:val="10"/>
                <w:sz w:val="10"/>
                <w:szCs w:val="10"/>
              </w:rPr>
              <w:t>2</w:t>
            </w:r>
            <w:r>
              <w:rPr>
                <w:rFonts w:cs="宋体"/>
                <w:sz w:val="21"/>
                <w:szCs w:val="21"/>
              </w:rPr>
              <w:t>）</w:t>
            </w:r>
          </w:p>
        </w:tc>
        <w:tc>
          <w:tcPr>
            <w:tcW w:w="1332"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地质灾害危害程度</w:t>
            </w:r>
          </w:p>
        </w:tc>
        <w:tc>
          <w:tcPr>
            <w:tcW w:w="1332"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对土地、</w:t>
            </w:r>
          </w:p>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pacing w:val="-4"/>
                <w:sz w:val="21"/>
                <w:szCs w:val="21"/>
              </w:rPr>
              <w:t>植被资源影响程度</w:t>
            </w:r>
          </w:p>
        </w:tc>
        <w:tc>
          <w:tcPr>
            <w:tcW w:w="1332"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对水资源、水环境</w:t>
            </w:r>
          </w:p>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影响程度</w:t>
            </w:r>
          </w:p>
        </w:tc>
        <w:tc>
          <w:tcPr>
            <w:tcW w:w="977" w:type="dxa"/>
            <w:tcBorders>
              <w:top w:val="single" w:color="000000" w:sz="12"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防治难度</w:t>
            </w:r>
          </w:p>
        </w:tc>
        <w:tc>
          <w:tcPr>
            <w:tcW w:w="976" w:type="dxa"/>
            <w:tcBorders>
              <w:top w:val="single" w:color="000000" w:sz="12" w:space="0"/>
              <w:left w:val="nil"/>
              <w:bottom w:val="single" w:color="000000" w:sz="12"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综合评估分区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8" w:hRule="atLeast"/>
        </w:trPr>
        <w:tc>
          <w:tcPr>
            <w:tcW w:w="1617" w:type="dxa"/>
            <w:tcBorders>
              <w:top w:val="single" w:color="000000" w:sz="12"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预测</w:t>
            </w:r>
          </w:p>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地面塌陷区</w:t>
            </w:r>
          </w:p>
        </w:tc>
        <w:tc>
          <w:tcPr>
            <w:tcW w:w="1161" w:type="dxa"/>
            <w:tcBorders>
              <w:top w:val="single" w:color="000000" w:sz="12"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0.6497</w:t>
            </w:r>
          </w:p>
        </w:tc>
        <w:tc>
          <w:tcPr>
            <w:tcW w:w="1332" w:type="dxa"/>
            <w:tcBorders>
              <w:top w:val="single" w:color="000000" w:sz="12"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较严重</w:t>
            </w:r>
          </w:p>
        </w:tc>
        <w:tc>
          <w:tcPr>
            <w:tcW w:w="1332" w:type="dxa"/>
            <w:tcBorders>
              <w:top w:val="single" w:color="000000" w:sz="12"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较轻</w:t>
            </w:r>
          </w:p>
        </w:tc>
        <w:tc>
          <w:tcPr>
            <w:tcW w:w="1332" w:type="dxa"/>
            <w:tcBorders>
              <w:top w:val="single" w:color="000000" w:sz="12"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较轻</w:t>
            </w:r>
          </w:p>
        </w:tc>
        <w:tc>
          <w:tcPr>
            <w:tcW w:w="977" w:type="dxa"/>
            <w:tcBorders>
              <w:top w:val="single" w:color="000000" w:sz="12"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较小</w:t>
            </w:r>
          </w:p>
        </w:tc>
        <w:tc>
          <w:tcPr>
            <w:tcW w:w="976" w:type="dxa"/>
            <w:tcBorders>
              <w:top w:val="single" w:color="000000" w:sz="12" w:space="0"/>
              <w:left w:val="nil"/>
              <w:bottom w:val="single" w:color="000000" w:sz="6"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较严重区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5" w:hRule="atLeast"/>
        </w:trPr>
        <w:tc>
          <w:tcPr>
            <w:tcW w:w="1617"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储煤场</w:t>
            </w:r>
          </w:p>
        </w:tc>
        <w:tc>
          <w:tcPr>
            <w:tcW w:w="1161"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0.0038</w:t>
            </w:r>
          </w:p>
        </w:tc>
        <w:tc>
          <w:tcPr>
            <w:tcW w:w="1332" w:type="dxa"/>
            <w:vMerge w:val="restart"/>
            <w:tcBorders>
              <w:top w:val="nil"/>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地质灾害不发育</w:t>
            </w:r>
          </w:p>
        </w:tc>
        <w:tc>
          <w:tcPr>
            <w:tcW w:w="1332" w:type="dxa"/>
            <w:vMerge w:val="restart"/>
            <w:tcBorders>
              <w:top w:val="nil"/>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较轻</w:t>
            </w:r>
          </w:p>
        </w:tc>
        <w:tc>
          <w:tcPr>
            <w:tcW w:w="1332" w:type="dxa"/>
            <w:vMerge w:val="restart"/>
            <w:tcBorders>
              <w:top w:val="nil"/>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较轻</w:t>
            </w:r>
          </w:p>
        </w:tc>
        <w:tc>
          <w:tcPr>
            <w:tcW w:w="977" w:type="dxa"/>
            <w:vMerge w:val="restart"/>
            <w:tcBorders>
              <w:top w:val="nil"/>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小</w:t>
            </w:r>
          </w:p>
        </w:tc>
        <w:tc>
          <w:tcPr>
            <w:tcW w:w="976" w:type="dxa"/>
            <w:vMerge w:val="restart"/>
            <w:tcBorders>
              <w:top w:val="nil"/>
              <w:left w:val="nil"/>
              <w:bottom w:val="single" w:color="000000" w:sz="6"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较轻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617" w:type="dxa"/>
            <w:tcBorders>
              <w:top w:val="single" w:color="000000" w:sz="6" w:space="0"/>
              <w:left w:val="single" w:color="000000" w:sz="12" w:space="0"/>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工业场地办公区</w:t>
            </w:r>
          </w:p>
        </w:tc>
        <w:tc>
          <w:tcPr>
            <w:tcW w:w="1161" w:type="dxa"/>
            <w:tcBorders>
              <w:top w:val="single" w:color="000000" w:sz="6" w:space="0"/>
              <w:left w:val="nil"/>
              <w:bottom w:val="single" w:color="000000" w:sz="6"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rPr>
            </w:pPr>
            <w:r>
              <w:rPr>
                <w:rFonts w:cs="宋体"/>
                <w:sz w:val="21"/>
                <w:szCs w:val="21"/>
              </w:rPr>
              <w:t>0.0119</w:t>
            </w:r>
          </w:p>
        </w:tc>
        <w:tc>
          <w:tcPr>
            <w:tcW w:w="1332" w:type="dxa"/>
            <w:vMerge w:val="continue"/>
            <w:tcBorders>
              <w:top w:val="nil"/>
              <w:left w:val="nil"/>
              <w:bottom w:val="single" w:color="000000" w:sz="6" w:space="0"/>
              <w:right w:val="single" w:color="000000" w:sz="6"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left="0" w:right="0" w:firstLine="0"/>
              <w:jc w:val="center"/>
              <w:textAlignment w:val="auto"/>
              <w:rPr>
                <w:rFonts w:ascii="Times New Roman" w:hAnsi="Times New Roman" w:cs="Times New Roman"/>
                <w:sz w:val="20"/>
                <w:szCs w:val="20"/>
              </w:rPr>
            </w:pPr>
          </w:p>
        </w:tc>
        <w:tc>
          <w:tcPr>
            <w:tcW w:w="1332" w:type="dxa"/>
            <w:vMerge w:val="continue"/>
            <w:tcBorders>
              <w:top w:val="nil"/>
              <w:left w:val="nil"/>
              <w:bottom w:val="single" w:color="000000" w:sz="6" w:space="0"/>
              <w:right w:val="single" w:color="000000" w:sz="6"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left="0" w:right="0" w:firstLine="0"/>
              <w:jc w:val="center"/>
              <w:textAlignment w:val="auto"/>
              <w:rPr>
                <w:rFonts w:ascii="Times New Roman" w:hAnsi="Times New Roman" w:cs="Times New Roman"/>
                <w:sz w:val="20"/>
                <w:szCs w:val="20"/>
              </w:rPr>
            </w:pPr>
          </w:p>
        </w:tc>
        <w:tc>
          <w:tcPr>
            <w:tcW w:w="1332" w:type="dxa"/>
            <w:vMerge w:val="continue"/>
            <w:tcBorders>
              <w:top w:val="nil"/>
              <w:left w:val="nil"/>
              <w:bottom w:val="single" w:color="000000" w:sz="6" w:space="0"/>
              <w:right w:val="single" w:color="000000" w:sz="6"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left="0" w:right="0" w:firstLine="0"/>
              <w:jc w:val="center"/>
              <w:textAlignment w:val="auto"/>
              <w:rPr>
                <w:rFonts w:ascii="Times New Roman" w:hAnsi="Times New Roman" w:cs="Times New Roman"/>
                <w:sz w:val="20"/>
                <w:szCs w:val="20"/>
              </w:rPr>
            </w:pPr>
          </w:p>
        </w:tc>
        <w:tc>
          <w:tcPr>
            <w:tcW w:w="977" w:type="dxa"/>
            <w:vMerge w:val="continue"/>
            <w:tcBorders>
              <w:top w:val="nil"/>
              <w:left w:val="nil"/>
              <w:bottom w:val="single" w:color="000000" w:sz="6" w:space="0"/>
              <w:right w:val="single" w:color="000000" w:sz="6"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left="0" w:right="0" w:firstLine="0"/>
              <w:jc w:val="center"/>
              <w:textAlignment w:val="auto"/>
              <w:rPr>
                <w:rFonts w:ascii="Times New Roman" w:hAnsi="Times New Roman" w:cs="Times New Roman"/>
                <w:sz w:val="20"/>
                <w:szCs w:val="20"/>
              </w:rPr>
            </w:pPr>
          </w:p>
        </w:tc>
        <w:tc>
          <w:tcPr>
            <w:tcW w:w="976" w:type="dxa"/>
            <w:vMerge w:val="continue"/>
            <w:tcBorders>
              <w:top w:val="nil"/>
              <w:left w:val="nil"/>
              <w:bottom w:val="single" w:color="000000" w:sz="6" w:space="0"/>
              <w:right w:val="single" w:color="000000" w:sz="12"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240" w:lineRule="auto"/>
              <w:ind w:left="0" w:right="0" w:firstLine="0"/>
              <w:jc w:val="center"/>
              <w:textAlignment w:val="auto"/>
              <w:rPr>
                <w:rFonts w:ascii="Times New Roman" w:hAnsi="Times New Roman" w:cs="Times New Roman"/>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5" w:hRule="atLeast"/>
        </w:trPr>
        <w:tc>
          <w:tcPr>
            <w:tcW w:w="1617" w:type="dxa"/>
            <w:tcBorders>
              <w:top w:val="single" w:color="000000" w:sz="6" w:space="0"/>
              <w:left w:val="single" w:color="000000" w:sz="12" w:space="0"/>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评估区内其余地区</w:t>
            </w:r>
          </w:p>
        </w:tc>
        <w:tc>
          <w:tcPr>
            <w:tcW w:w="1161"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0.7818</w:t>
            </w:r>
          </w:p>
        </w:tc>
        <w:tc>
          <w:tcPr>
            <w:tcW w:w="1332"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地质灾害不发育</w:t>
            </w:r>
          </w:p>
        </w:tc>
        <w:tc>
          <w:tcPr>
            <w:tcW w:w="1332"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影响较小</w:t>
            </w:r>
          </w:p>
        </w:tc>
        <w:tc>
          <w:tcPr>
            <w:tcW w:w="1332"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影响较小</w:t>
            </w:r>
          </w:p>
        </w:tc>
        <w:tc>
          <w:tcPr>
            <w:tcW w:w="977" w:type="dxa"/>
            <w:tcBorders>
              <w:top w:val="single" w:color="000000" w:sz="6" w:space="0"/>
              <w:left w:val="nil"/>
              <w:bottom w:val="single" w:color="000000" w:sz="12" w:space="0"/>
              <w:right w:val="single" w:color="000000" w:sz="6"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无需治理</w:t>
            </w:r>
          </w:p>
        </w:tc>
        <w:tc>
          <w:tcPr>
            <w:tcW w:w="976" w:type="dxa"/>
            <w:tcBorders>
              <w:top w:val="single" w:color="000000" w:sz="6" w:space="0"/>
              <w:left w:val="nil"/>
              <w:bottom w:val="single" w:color="000000" w:sz="12" w:space="0"/>
              <w:right w:val="single" w:color="000000" w:sz="12" w:space="0"/>
            </w:tcBorders>
            <w:shd w:val="clear" w:color="auto" w:fill="auto"/>
            <w:vAlign w:val="center"/>
          </w:tcPr>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pacing w:val="-6"/>
                <w:sz w:val="21"/>
                <w:szCs w:val="21"/>
              </w:rPr>
              <w:t>评估区内其余</w:t>
            </w:r>
          </w:p>
          <w:p>
            <w:pPr>
              <w:pStyle w:val="40"/>
              <w:keepNext w:val="0"/>
              <w:keepLines w:val="0"/>
              <w:pageBreakBefore w:val="0"/>
              <w:widowControl/>
              <w:kinsoku/>
              <w:wordWrap/>
              <w:overflowPunct/>
              <w:topLinePunct w:val="0"/>
              <w:autoSpaceDE w:val="0"/>
              <w:autoSpaceDN w:val="0"/>
              <w:bidi w:val="0"/>
              <w:adjustRightInd/>
              <w:snapToGrid/>
              <w:spacing w:line="240" w:lineRule="auto"/>
              <w:ind w:left="0" w:right="0" w:firstLine="0"/>
              <w:jc w:val="center"/>
              <w:textAlignment w:val="auto"/>
              <w:rPr>
                <w:rFonts w:hint="default"/>
                <w:b/>
                <w:sz w:val="21"/>
                <w:szCs w:val="21"/>
              </w:rPr>
            </w:pPr>
            <w:r>
              <w:rPr>
                <w:rFonts w:cs="宋体"/>
                <w:b/>
                <w:sz w:val="21"/>
                <w:szCs w:val="21"/>
              </w:rPr>
              <w:t>地区</w:t>
            </w:r>
          </w:p>
        </w:tc>
      </w:tr>
    </w:tbl>
    <w:p>
      <w:pPr>
        <w:pStyle w:val="5"/>
        <w:widowControl/>
        <w:spacing w:line="620" w:lineRule="exact"/>
        <w:ind w:left="0" w:firstLine="602" w:firstLineChars="200"/>
        <w:jc w:val="both"/>
        <w:rPr>
          <w:rFonts w:hint="default" w:cs="宋体"/>
          <w:sz w:val="30"/>
          <w:szCs w:val="30"/>
        </w:rPr>
      </w:pPr>
      <w:r>
        <w:rPr>
          <w:rFonts w:cs="宋体"/>
          <w:sz w:val="30"/>
          <w:szCs w:val="30"/>
        </w:rPr>
        <w:t>一、矿山环境影响较严重区</w:t>
      </w:r>
    </w:p>
    <w:p>
      <w:pPr>
        <w:pStyle w:val="11"/>
        <w:spacing w:line="620" w:lineRule="exact"/>
        <w:ind w:firstLine="600" w:firstLineChars="200"/>
        <w:jc w:val="both"/>
        <w:rPr>
          <w:sz w:val="30"/>
          <w:szCs w:val="30"/>
        </w:rPr>
      </w:pPr>
      <w:r>
        <w:rPr>
          <w:rFonts w:hint="eastAsia"/>
          <w:sz w:val="30"/>
          <w:szCs w:val="30"/>
          <w:lang w:val="en-US" w:bidi="ar"/>
        </w:rPr>
        <w:t>包括预测地面塌陷区，面积 0.6497km</w:t>
      </w:r>
      <w:r>
        <w:rPr>
          <w:sz w:val="30"/>
          <w:szCs w:val="30"/>
          <w:vertAlign w:val="superscript"/>
          <w:lang w:val="en-US" w:bidi="ar"/>
        </w:rPr>
        <w:t>2</w:t>
      </w:r>
      <w:r>
        <w:rPr>
          <w:rFonts w:hint="eastAsia"/>
          <w:sz w:val="30"/>
          <w:szCs w:val="30"/>
          <w:lang w:val="en-US" w:bidi="ar"/>
        </w:rPr>
        <w:t>,占评估区总面积的 44.89%。</w:t>
      </w:r>
    </w:p>
    <w:p>
      <w:pPr>
        <w:pStyle w:val="11"/>
        <w:spacing w:line="620" w:lineRule="exact"/>
        <w:ind w:firstLine="572" w:firstLineChars="200"/>
        <w:jc w:val="both"/>
        <w:rPr>
          <w:sz w:val="30"/>
          <w:szCs w:val="30"/>
        </w:rPr>
      </w:pPr>
      <w:r>
        <w:rPr>
          <w:rFonts w:hint="eastAsia"/>
          <w:spacing w:val="-7"/>
          <w:sz w:val="30"/>
          <w:szCs w:val="30"/>
          <w:lang w:val="en-US" w:bidi="ar"/>
        </w:rPr>
        <w:t>该区矿山开采引发的地质灾害为地面塌陷，地质灾害危害程度“较严重”，危险</w:t>
      </w:r>
      <w:r>
        <w:rPr>
          <w:rFonts w:hint="eastAsia"/>
          <w:spacing w:val="-5"/>
          <w:sz w:val="30"/>
          <w:szCs w:val="30"/>
          <w:lang w:val="en-US" w:bidi="ar"/>
        </w:rPr>
        <w:t xml:space="preserve">性中等；破坏土地面积 </w:t>
      </w:r>
      <w:r>
        <w:rPr>
          <w:rFonts w:hint="eastAsia"/>
          <w:sz w:val="30"/>
          <w:szCs w:val="30"/>
          <w:lang w:val="en-US" w:bidi="ar"/>
        </w:rPr>
        <w:t>0.6497km</w:t>
      </w:r>
      <w:r>
        <w:rPr>
          <w:sz w:val="30"/>
          <w:szCs w:val="30"/>
          <w:vertAlign w:val="superscript"/>
          <w:lang w:val="en-US" w:bidi="ar"/>
        </w:rPr>
        <w:t>2</w:t>
      </w:r>
      <w:r>
        <w:rPr>
          <w:rFonts w:hint="eastAsia"/>
          <w:spacing w:val="-1"/>
          <w:sz w:val="30"/>
          <w:szCs w:val="30"/>
          <w:lang w:val="en-US" w:bidi="ar"/>
        </w:rPr>
        <w:t>，破坏的土地类型主要为天然草地，破坏的植被类</w:t>
      </w:r>
      <w:r>
        <w:rPr>
          <w:rFonts w:hint="eastAsia"/>
          <w:spacing w:val="-8"/>
          <w:sz w:val="30"/>
          <w:szCs w:val="30"/>
          <w:lang w:val="en-US" w:bidi="ar"/>
        </w:rPr>
        <w:t>型为干旱草原植被，对土地、植被资源的影响程度“较轻”；对水资源、水环境影响</w:t>
      </w:r>
      <w:r>
        <w:rPr>
          <w:rFonts w:hint="eastAsia"/>
          <w:sz w:val="30"/>
          <w:szCs w:val="30"/>
          <w:lang w:val="en-US" w:bidi="ar"/>
        </w:rPr>
        <w:t>程度“较轻”；防治难度较小。综合评估为矿山环境影响“较严重区”。</w:t>
      </w:r>
    </w:p>
    <w:p>
      <w:pPr>
        <w:pStyle w:val="5"/>
        <w:widowControl/>
        <w:spacing w:line="620" w:lineRule="exact"/>
        <w:ind w:left="0" w:firstLine="602" w:firstLineChars="200"/>
        <w:jc w:val="both"/>
        <w:rPr>
          <w:rFonts w:hint="default" w:cs="宋体"/>
          <w:sz w:val="30"/>
          <w:szCs w:val="30"/>
        </w:rPr>
      </w:pPr>
      <w:r>
        <w:rPr>
          <w:rFonts w:cs="宋体"/>
          <w:sz w:val="30"/>
          <w:szCs w:val="30"/>
        </w:rPr>
        <w:t>二、矿山环境影响较轻区</w:t>
      </w:r>
    </w:p>
    <w:p>
      <w:pPr>
        <w:pStyle w:val="11"/>
        <w:spacing w:line="620" w:lineRule="exact"/>
        <w:ind w:firstLine="584" w:firstLineChars="200"/>
        <w:jc w:val="both"/>
        <w:rPr>
          <w:sz w:val="30"/>
          <w:szCs w:val="30"/>
          <w:lang w:val="en-US" w:bidi="ar"/>
        </w:rPr>
      </w:pPr>
      <w:r>
        <w:rPr>
          <w:rFonts w:hint="eastAsia"/>
          <w:spacing w:val="-4"/>
          <w:sz w:val="30"/>
          <w:szCs w:val="30"/>
          <w:lang w:val="en-US" w:bidi="ar"/>
        </w:rPr>
        <w:t xml:space="preserve">包括工业场地、办公区和储煤场，面积 </w:t>
      </w:r>
      <w:r>
        <w:rPr>
          <w:sz w:val="30"/>
          <w:szCs w:val="30"/>
          <w:lang w:val="en-US" w:bidi="ar"/>
        </w:rPr>
        <w:t>0.0157km</w:t>
      </w:r>
      <w:r>
        <w:rPr>
          <w:sz w:val="30"/>
          <w:szCs w:val="30"/>
          <w:vertAlign w:val="superscript"/>
          <w:lang w:val="en-US" w:bidi="ar"/>
        </w:rPr>
        <w:t>2</w:t>
      </w:r>
      <w:r>
        <w:rPr>
          <w:rFonts w:hint="eastAsia"/>
          <w:spacing w:val="-6"/>
          <w:sz w:val="30"/>
          <w:szCs w:val="30"/>
          <w:lang w:val="en-US" w:bidi="ar"/>
        </w:rPr>
        <w:t xml:space="preserve">，占评估区总面积的 </w:t>
      </w:r>
      <w:r>
        <w:rPr>
          <w:sz w:val="30"/>
          <w:szCs w:val="30"/>
          <w:lang w:val="en-US" w:bidi="ar"/>
        </w:rPr>
        <w:t>1.08%</w:t>
      </w:r>
      <w:r>
        <w:rPr>
          <w:rFonts w:hint="eastAsia"/>
          <w:sz w:val="30"/>
          <w:szCs w:val="30"/>
          <w:lang w:val="en-US" w:bidi="ar"/>
        </w:rPr>
        <w:t>。</w:t>
      </w:r>
      <w:r>
        <w:rPr>
          <w:rFonts w:hint="eastAsia"/>
          <w:spacing w:val="-8"/>
          <w:sz w:val="30"/>
          <w:szCs w:val="30"/>
          <w:lang w:val="en-US" w:bidi="ar"/>
        </w:rPr>
        <w:t>该区地质灾害不发育，对土地、植被资源影响程度较轻，对水资源、水环境影响</w:t>
      </w:r>
      <w:r>
        <w:rPr>
          <w:rFonts w:hint="eastAsia"/>
          <w:sz w:val="30"/>
          <w:szCs w:val="30"/>
          <w:lang w:val="en-US" w:bidi="ar"/>
        </w:rPr>
        <w:t>程度较轻。综合评估为矿山环境影响“较轻区”。</w:t>
      </w:r>
    </w:p>
    <w:p>
      <w:pPr>
        <w:spacing w:line="620" w:lineRule="exact"/>
        <w:ind w:firstLine="602" w:firstLineChars="200"/>
        <w:jc w:val="both"/>
        <w:rPr>
          <w:b/>
          <w:sz w:val="30"/>
          <w:szCs w:val="30"/>
        </w:rPr>
      </w:pPr>
      <w:r>
        <w:rPr>
          <w:rFonts w:hint="eastAsia"/>
          <w:b/>
          <w:sz w:val="30"/>
          <w:szCs w:val="30"/>
          <w:lang w:val="en-US" w:bidi="ar"/>
        </w:rPr>
        <w:t>三、评估区内其余地区</w:t>
      </w:r>
    </w:p>
    <w:p>
      <w:pPr>
        <w:pStyle w:val="11"/>
        <w:spacing w:line="620" w:lineRule="exact"/>
        <w:ind w:firstLine="576" w:firstLineChars="200"/>
        <w:jc w:val="both"/>
        <w:rPr>
          <w:sz w:val="30"/>
          <w:szCs w:val="30"/>
          <w:lang w:val="en-US" w:bidi="ar"/>
        </w:rPr>
      </w:pPr>
      <w:r>
        <w:rPr>
          <w:rFonts w:hint="eastAsia"/>
          <w:spacing w:val="-6"/>
          <w:sz w:val="30"/>
          <w:szCs w:val="30"/>
          <w:lang w:val="en-US" w:bidi="ar"/>
        </w:rPr>
        <w:t xml:space="preserve">评估区其余地区面积 </w:t>
      </w:r>
      <w:r>
        <w:rPr>
          <w:rFonts w:hint="eastAsia"/>
          <w:spacing w:val="-3"/>
          <w:sz w:val="30"/>
          <w:szCs w:val="30"/>
          <w:lang w:val="en-US" w:bidi="ar"/>
        </w:rPr>
        <w:t>0.7818km</w:t>
      </w:r>
      <w:r>
        <w:rPr>
          <w:spacing w:val="-3"/>
          <w:sz w:val="30"/>
          <w:szCs w:val="30"/>
          <w:vertAlign w:val="superscript"/>
          <w:lang w:val="en-US" w:bidi="ar"/>
        </w:rPr>
        <w:t>2</w:t>
      </w:r>
      <w:r>
        <w:rPr>
          <w:rFonts w:hint="eastAsia"/>
          <w:spacing w:val="-8"/>
          <w:sz w:val="30"/>
          <w:szCs w:val="30"/>
          <w:lang w:val="en-US" w:bidi="ar"/>
        </w:rPr>
        <w:t xml:space="preserve">，占评估区总面积的 </w:t>
      </w:r>
      <w:r>
        <w:rPr>
          <w:sz w:val="30"/>
          <w:szCs w:val="30"/>
          <w:lang w:val="en-US" w:bidi="ar"/>
        </w:rPr>
        <w:t>54.02%</w:t>
      </w:r>
      <w:r>
        <w:rPr>
          <w:rFonts w:hint="eastAsia"/>
          <w:spacing w:val="-8"/>
          <w:sz w:val="30"/>
          <w:szCs w:val="30"/>
          <w:lang w:val="en-US" w:bidi="ar"/>
        </w:rPr>
        <w:t>。该区地质灾害不发</w:t>
      </w:r>
      <w:r>
        <w:rPr>
          <w:rFonts w:hint="eastAsia"/>
          <w:sz w:val="30"/>
          <w:szCs w:val="30"/>
          <w:lang w:val="en-US" w:bidi="ar"/>
        </w:rPr>
        <w:t>育，对土地、植被资源、水资源、水环境影响很小。</w:t>
      </w:r>
    </w:p>
    <w:p>
      <w:pPr>
        <w:pStyle w:val="11"/>
        <w:spacing w:before="3" w:line="362" w:lineRule="auto"/>
        <w:ind w:left="220" w:leftChars="100" w:right="220" w:rightChars="100" w:firstLine="720" w:firstLineChars="200"/>
        <w:jc w:val="center"/>
        <w:rPr>
          <w:sz w:val="36"/>
          <w:szCs w:val="36"/>
        </w:rPr>
      </w:pPr>
    </w:p>
    <w:p>
      <w:pPr>
        <w:pStyle w:val="11"/>
        <w:spacing w:before="3" w:line="362" w:lineRule="auto"/>
        <w:ind w:left="220" w:leftChars="100" w:right="220" w:rightChars="100" w:firstLine="720" w:firstLineChars="200"/>
        <w:jc w:val="center"/>
        <w:outlineLvl w:val="0"/>
        <w:rPr>
          <w:rFonts w:cs="仿宋_GB2312"/>
          <w:b/>
          <w:bCs/>
          <w:w w:val="167"/>
          <w:sz w:val="36"/>
          <w:szCs w:val="36"/>
        </w:rPr>
      </w:pPr>
      <w:bookmarkStart w:id="14" w:name="_Toc20680"/>
      <w:r>
        <w:rPr>
          <w:sz w:val="36"/>
          <w:szCs w:val="36"/>
        </w:rPr>
        <w:fldChar w:fldCharType="begin"/>
      </w:r>
      <w:r>
        <w:rPr>
          <w:sz w:val="36"/>
          <w:szCs w:val="36"/>
        </w:rPr>
        <w:instrText xml:space="preserve"> HYPERLINK \l "_bookmark7" </w:instrText>
      </w:r>
      <w:r>
        <w:rPr>
          <w:sz w:val="36"/>
          <w:szCs w:val="36"/>
        </w:rPr>
        <w:fldChar w:fldCharType="separate"/>
      </w:r>
      <w:r>
        <w:rPr>
          <w:rFonts w:hint="eastAsia" w:cs="仿宋_GB2312"/>
          <w:b/>
          <w:bCs/>
          <w:sz w:val="36"/>
          <w:szCs w:val="36"/>
        </w:rPr>
        <w:t>第</w:t>
      </w:r>
      <w:r>
        <w:rPr>
          <w:rFonts w:hint="eastAsia" w:cs="仿宋_GB2312"/>
          <w:b/>
          <w:bCs/>
          <w:color w:val="auto"/>
          <w:sz w:val="36"/>
          <w:szCs w:val="36"/>
        </w:rPr>
        <w:t xml:space="preserve">四章 </w:t>
      </w:r>
      <w:r>
        <w:rPr>
          <w:rFonts w:hint="eastAsia" w:cs="仿宋_GB2312"/>
          <w:b/>
          <w:bCs/>
          <w:color w:val="auto"/>
          <w:sz w:val="36"/>
          <w:szCs w:val="36"/>
          <w:lang w:val="en-US" w:eastAsia="zh-CN"/>
        </w:rPr>
        <w:t>2020</w:t>
      </w:r>
      <w:r>
        <w:rPr>
          <w:rFonts w:hint="eastAsia" w:cs="仿宋_GB2312"/>
          <w:b/>
          <w:bCs/>
          <w:color w:val="auto"/>
          <w:sz w:val="36"/>
          <w:szCs w:val="36"/>
        </w:rPr>
        <w:t>年前方</w:t>
      </w:r>
      <w:r>
        <w:rPr>
          <w:rFonts w:hint="eastAsia" w:cs="仿宋_GB2312"/>
          <w:b/>
          <w:bCs/>
          <w:sz w:val="36"/>
          <w:szCs w:val="36"/>
        </w:rPr>
        <w:t>案的编制情况</w:t>
      </w:r>
      <w:r>
        <w:rPr>
          <w:rFonts w:hint="eastAsia" w:cs="仿宋_GB2312"/>
          <w:b/>
          <w:bCs/>
          <w:sz w:val="36"/>
          <w:szCs w:val="36"/>
        </w:rPr>
        <w:fldChar w:fldCharType="end"/>
      </w:r>
      <w:bookmarkEnd w:id="14"/>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rPr>
        <w:t>根据《矿山地质环境保护规定》《内蒙古自治区矿山地质环境治理保证金管理办法》等有关政策、法规要求，为了规范矿山建设和生态环境保护，</w:t>
      </w:r>
      <w:r>
        <w:rPr>
          <w:rFonts w:hint="eastAsia" w:asciiTheme="minorEastAsia" w:hAnsiTheme="minorEastAsia" w:eastAsiaTheme="minorEastAsia"/>
          <w:sz w:val="30"/>
          <w:szCs w:val="30"/>
          <w:lang w:eastAsia="zh-CN"/>
        </w:rPr>
        <w:t>内蒙古黄河工贸集团滴沥帮煤炭有限公司煤矿</w:t>
      </w:r>
      <w:r>
        <w:rPr>
          <w:rFonts w:hint="eastAsia" w:asciiTheme="minorEastAsia" w:hAnsiTheme="minorEastAsia" w:eastAsiaTheme="minorEastAsia"/>
          <w:sz w:val="30"/>
          <w:szCs w:val="30"/>
        </w:rPr>
        <w:t>二矿于2009年</w:t>
      </w:r>
      <w:r>
        <w:rPr>
          <w:rFonts w:hint="eastAsia" w:asciiTheme="minorEastAsia" w:hAnsiTheme="minorEastAsia" w:eastAsiaTheme="minorEastAsia"/>
          <w:sz w:val="30"/>
          <w:szCs w:val="30"/>
          <w:lang w:val="en-US"/>
        </w:rPr>
        <w:t>6</w:t>
      </w:r>
      <w:r>
        <w:rPr>
          <w:rFonts w:hint="eastAsia" w:asciiTheme="minorEastAsia" w:hAnsiTheme="minorEastAsia" w:eastAsiaTheme="minorEastAsia"/>
          <w:sz w:val="30"/>
          <w:szCs w:val="30"/>
        </w:rPr>
        <w:t>月委托内蒙古第一水文地质工程勘察院编制了</w:t>
      </w:r>
      <w:r>
        <w:rPr>
          <w:rFonts w:hint="eastAsia" w:asciiTheme="minorEastAsia" w:hAnsiTheme="minorEastAsia" w:eastAsiaTheme="minorEastAsia"/>
          <w:sz w:val="30"/>
          <w:szCs w:val="30"/>
          <w:lang w:val="en-US"/>
        </w:rPr>
        <w:t>《</w:t>
      </w:r>
      <w:r>
        <w:rPr>
          <w:rFonts w:hint="eastAsia" w:asciiTheme="minorEastAsia" w:hAnsiTheme="minorEastAsia" w:eastAsiaTheme="minorEastAsia"/>
          <w:sz w:val="30"/>
          <w:szCs w:val="30"/>
          <w:lang w:val="en-US" w:eastAsia="zh-CN"/>
        </w:rPr>
        <w:t>内蒙古黄河工贸集团滴沥帮煤炭有限公司煤矿</w:t>
      </w:r>
      <w:r>
        <w:rPr>
          <w:rFonts w:hint="eastAsia" w:asciiTheme="minorEastAsia" w:hAnsiTheme="minorEastAsia" w:eastAsiaTheme="minorEastAsia"/>
          <w:sz w:val="30"/>
          <w:szCs w:val="30"/>
          <w:lang w:val="en-US"/>
        </w:rPr>
        <w:t>二矿矿山环境保护与综合治理方案》，《方案》中显示：“本次方案编制主要考虑矿山服务年限和矿山开采时间，以及矿山环境影响滞后期和治理维护期1年，因此，确定该方案适用年限为28年，即2010年</w:t>
      </w:r>
      <w:r>
        <w:rPr>
          <w:rFonts w:hint="eastAsia" w:ascii="微软雅黑" w:hAnsi="微软雅黑" w:eastAsia="微软雅黑" w:cs="微软雅黑"/>
          <w:sz w:val="30"/>
          <w:szCs w:val="30"/>
          <w:lang w:val="en-US"/>
        </w:rPr>
        <w:t>〜</w:t>
      </w:r>
      <w:r>
        <w:rPr>
          <w:rFonts w:hint="eastAsia" w:asciiTheme="minorEastAsia" w:hAnsiTheme="minorEastAsia" w:eastAsiaTheme="minorEastAsia"/>
          <w:sz w:val="30"/>
          <w:szCs w:val="30"/>
          <w:lang w:val="en-US"/>
        </w:rPr>
        <w:t xml:space="preserve">2037年。方案编制基准年为2009年。”2013年按照《内蒙古自治区煤矿整顿关闭领导小组办公室关于乌海市龙贵煤矿整合滴沥帮乌素煤矿二矿和三矿的批复》（内煤整办[2013]5号）文件列入整合煤矿后，至今未生产。按照《内蒙古自治区矿山地质环境治理保证金管理办法实施细则》第二十一条“矿山企业在一个治理期内，因技术改造或者其他客观原因停产，本期未造成地质环境破坏或者已经完成本期已破坏地质环境治理的，经旗县级国土资源行政主管部门核实并出具证明，上期缴存的保证金可直接转存，《分期治理方案》编制工作也一并顺延，直到开工时间达到3年治理期。” </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2012年根据内蒙古自治区土地储备登记中心（内蒙古自治区矿业权交易服务中心）矿业权交易鉴证书，乌海市巴音陶亥滴沥帮乌素煤矿二矿变更矿山名称为内蒙古黄河工贸滴沥帮煤炭有限公司煤矿。后附：内蒙古自治区土地储备登记中心（内蒙古自治区矿业权交易服务中心）矿业权交易鉴证书（内矿权鉴字〔2012〕93号）；《关于内蒙古乌海市万晨能源煤炭有限责任公司龙贵煤矿整合改造方案的批复》（内煤局字〔2013〕4号）。</w:t>
      </w:r>
    </w:p>
    <w:p>
      <w:pPr>
        <w:ind w:firstLine="560" w:firstLineChars="200"/>
        <w:rPr>
          <w:rFonts w:ascii="仿宋_GB2312" w:eastAsia="仿宋_GB2312"/>
          <w:sz w:val="28"/>
          <w:szCs w:val="28"/>
          <w:lang w:val="en-US"/>
        </w:rPr>
      </w:pPr>
      <w:r>
        <w:rPr>
          <w:rFonts w:hint="eastAsia" w:ascii="仿宋_GB2312" w:eastAsia="仿宋_GB2312"/>
          <w:sz w:val="28"/>
          <w:szCs w:val="28"/>
          <w:lang w:val="en-US" w:bidi="ar-SA"/>
        </w:rPr>
        <w:drawing>
          <wp:inline distT="0" distB="0" distL="114300" distR="114300">
            <wp:extent cx="5224145" cy="7339965"/>
            <wp:effectExtent l="0" t="0" r="14605" b="1333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2"/>
                    <a:stretch>
                      <a:fillRect/>
                    </a:stretch>
                  </pic:blipFill>
                  <pic:spPr>
                    <a:xfrm>
                      <a:off x="0" y="0"/>
                      <a:ext cx="5224145" cy="7339965"/>
                    </a:xfrm>
                    <a:prstGeom prst="rect">
                      <a:avLst/>
                    </a:prstGeom>
                  </pic:spPr>
                </pic:pic>
              </a:graphicData>
            </a:graphic>
          </wp:inline>
        </w:drawing>
      </w:r>
      <w:r>
        <w:rPr>
          <w:rFonts w:hint="eastAsia" w:ascii="仿宋_GB2312" w:eastAsia="仿宋_GB2312"/>
          <w:sz w:val="28"/>
          <w:szCs w:val="28"/>
          <w:lang w:val="en-US" w:bidi="ar-SA"/>
        </w:rPr>
        <w:drawing>
          <wp:inline distT="0" distB="0" distL="114300" distR="114300">
            <wp:extent cx="5224145" cy="7298055"/>
            <wp:effectExtent l="0" t="0" r="14605" b="17145"/>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13"/>
                    <a:stretch>
                      <a:fillRect/>
                    </a:stretch>
                  </pic:blipFill>
                  <pic:spPr>
                    <a:xfrm>
                      <a:off x="0" y="0"/>
                      <a:ext cx="5224145" cy="7298055"/>
                    </a:xfrm>
                    <a:prstGeom prst="rect">
                      <a:avLst/>
                    </a:prstGeom>
                  </pic:spPr>
                </pic:pic>
              </a:graphicData>
            </a:graphic>
          </wp:inline>
        </w:drawing>
      </w:r>
    </w:p>
    <w:p>
      <w:pPr>
        <w:ind w:firstLine="640" w:firstLineChars="200"/>
        <w:rPr>
          <w:rFonts w:ascii="仿宋_GB2312" w:hAnsi="仿宋_GB2312" w:eastAsia="仿宋_GB2312" w:cs="仿宋_GB2312"/>
          <w:b/>
          <w:bCs/>
          <w:sz w:val="30"/>
          <w:szCs w:val="30"/>
        </w:rPr>
      </w:pPr>
      <w:r>
        <w:rPr>
          <w:rFonts w:hint="eastAsia" w:ascii="仿宋_GB2312" w:hAnsi="仿宋_GB2312" w:cs="仿宋_GB2312"/>
          <w:sz w:val="32"/>
          <w:szCs w:val="32"/>
          <w:lang w:val="en-US" w:bidi="ar-SA"/>
        </w:rPr>
        <w:drawing>
          <wp:inline distT="0" distB="0" distL="114300" distR="114300">
            <wp:extent cx="5273040" cy="7451725"/>
            <wp:effectExtent l="0" t="0" r="3810" b="15875"/>
            <wp:docPr id="24" name="图片 24" descr="12-1龙贵滴沥帮二矿三矿整合方案批复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2-1龙贵滴沥帮二矿三矿整合方案批复文件_00"/>
                    <pic:cNvPicPr>
                      <a:picLocks noChangeAspect="1"/>
                    </pic:cNvPicPr>
                  </pic:nvPicPr>
                  <pic:blipFill>
                    <a:blip r:embed="rId14"/>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23" name="图片 23" descr="12-1龙贵滴沥帮二矿三矿整合方案批复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1龙贵滴沥帮二矿三矿整合方案批复文件_01"/>
                    <pic:cNvPicPr>
                      <a:picLocks noChangeAspect="1"/>
                    </pic:cNvPicPr>
                  </pic:nvPicPr>
                  <pic:blipFill>
                    <a:blip r:embed="rId15"/>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22" name="图片 22" descr="12-1龙贵滴沥帮二矿三矿整合方案批复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1龙贵滴沥帮二矿三矿整合方案批复文件_02"/>
                    <pic:cNvPicPr>
                      <a:picLocks noChangeAspect="1"/>
                    </pic:cNvPicPr>
                  </pic:nvPicPr>
                  <pic:blipFill>
                    <a:blip r:embed="rId16"/>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21" name="图片 21" descr="12-1龙贵滴沥帮二矿三矿整合方案批复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1龙贵滴沥帮二矿三矿整合方案批复文件_03"/>
                    <pic:cNvPicPr>
                      <a:picLocks noChangeAspect="1"/>
                    </pic:cNvPicPr>
                  </pic:nvPicPr>
                  <pic:blipFill>
                    <a:blip r:embed="rId17"/>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20" name="图片 20" descr="12-1龙贵滴沥帮二矿三矿整合方案批复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1龙贵滴沥帮二矿三矿整合方案批复文件_04"/>
                    <pic:cNvPicPr>
                      <a:picLocks noChangeAspect="1"/>
                    </pic:cNvPicPr>
                  </pic:nvPicPr>
                  <pic:blipFill>
                    <a:blip r:embed="rId18"/>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19" name="图片 19" descr="12-1龙贵滴沥帮二矿三矿整合方案批复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1龙贵滴沥帮二矿三矿整合方案批复文件_05"/>
                    <pic:cNvPicPr>
                      <a:picLocks noChangeAspect="1"/>
                    </pic:cNvPicPr>
                  </pic:nvPicPr>
                  <pic:blipFill>
                    <a:blip r:embed="rId19"/>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18" name="图片 18" descr="12-1龙贵滴沥帮二矿三矿整合方案批复文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1龙贵滴沥帮二矿三矿整合方案批复文件_06"/>
                    <pic:cNvPicPr>
                      <a:picLocks noChangeAspect="1"/>
                    </pic:cNvPicPr>
                  </pic:nvPicPr>
                  <pic:blipFill>
                    <a:blip r:embed="rId20"/>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17" name="图片 17" descr="12-1龙贵滴沥帮二矿三矿整合方案批复文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1龙贵滴沥帮二矿三矿整合方案批复文件_07"/>
                    <pic:cNvPicPr>
                      <a:picLocks noChangeAspect="1"/>
                    </pic:cNvPicPr>
                  </pic:nvPicPr>
                  <pic:blipFill>
                    <a:blip r:embed="rId21"/>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16" name="图片 16" descr="12-1龙贵滴沥帮二矿三矿整合方案批复文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1龙贵滴沥帮二矿三矿整合方案批复文件_08"/>
                    <pic:cNvPicPr>
                      <a:picLocks noChangeAspect="1"/>
                    </pic:cNvPicPr>
                  </pic:nvPicPr>
                  <pic:blipFill>
                    <a:blip r:embed="rId22"/>
                    <a:stretch>
                      <a:fillRect/>
                    </a:stretch>
                  </pic:blipFill>
                  <pic:spPr>
                    <a:xfrm>
                      <a:off x="0" y="0"/>
                      <a:ext cx="5273040" cy="7451725"/>
                    </a:xfrm>
                    <a:prstGeom prst="rect">
                      <a:avLst/>
                    </a:prstGeom>
                  </pic:spPr>
                </pic:pic>
              </a:graphicData>
            </a:graphic>
          </wp:inline>
        </w:drawing>
      </w:r>
      <w:r>
        <w:rPr>
          <w:rFonts w:hint="eastAsia" w:ascii="仿宋_GB2312" w:hAnsi="仿宋_GB2312" w:cs="仿宋_GB2312"/>
          <w:sz w:val="32"/>
          <w:szCs w:val="32"/>
          <w:lang w:val="en-US" w:bidi="ar-SA"/>
        </w:rPr>
        <w:drawing>
          <wp:inline distT="0" distB="0" distL="114300" distR="114300">
            <wp:extent cx="5273040" cy="7451725"/>
            <wp:effectExtent l="0" t="0" r="3810" b="15875"/>
            <wp:docPr id="15" name="图片 15" descr="12-1龙贵滴沥帮二矿三矿整合方案批复文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1龙贵滴沥帮二矿三矿整合方案批复文件_09"/>
                    <pic:cNvPicPr>
                      <a:picLocks noChangeAspect="1"/>
                    </pic:cNvPicPr>
                  </pic:nvPicPr>
                  <pic:blipFill>
                    <a:blip r:embed="rId23"/>
                    <a:stretch>
                      <a:fillRect/>
                    </a:stretch>
                  </pic:blipFill>
                  <pic:spPr>
                    <a:xfrm>
                      <a:off x="0" y="0"/>
                      <a:ext cx="5273040" cy="7451725"/>
                    </a:xfrm>
                    <a:prstGeom prst="rect">
                      <a:avLst/>
                    </a:prstGeom>
                  </pic:spPr>
                </pic:pic>
              </a:graphicData>
            </a:graphic>
          </wp:inline>
        </w:drawing>
      </w:r>
    </w:p>
    <w:p>
      <w:pPr>
        <w:rPr>
          <w:rFonts w:ascii="仿宋_GB2312" w:hAnsi="仿宋_GB2312" w:eastAsia="仿宋_GB2312" w:cs="仿宋_GB2312"/>
          <w:b/>
          <w:bCs/>
          <w:sz w:val="30"/>
          <w:szCs w:val="30"/>
        </w:rPr>
      </w:pPr>
    </w:p>
    <w:p>
      <w:pPr>
        <w:rPr>
          <w:rFonts w:ascii="仿宋_GB2312" w:hAnsi="仿宋_GB2312" w:eastAsia="仿宋_GB2312" w:cs="仿宋_GB2312"/>
          <w:b/>
          <w:bCs/>
          <w:sz w:val="30"/>
          <w:szCs w:val="30"/>
        </w:rPr>
      </w:pPr>
    </w:p>
    <w:p>
      <w:pPr>
        <w:rPr>
          <w:rFonts w:ascii="仿宋_GB2312" w:hAnsi="仿宋_GB2312" w:eastAsia="仿宋_GB2312" w:cs="仿宋_GB2312"/>
          <w:b/>
          <w:bCs/>
          <w:sz w:val="30"/>
          <w:szCs w:val="30"/>
        </w:rPr>
      </w:pPr>
    </w:p>
    <w:p>
      <w:pPr>
        <w:ind w:firstLine="723" w:firstLineChars="200"/>
        <w:jc w:val="center"/>
        <w:outlineLvl w:val="0"/>
        <w:rPr>
          <w:rFonts w:cs="仿宋_GB2312" w:asciiTheme="minorEastAsia" w:hAnsiTheme="minorEastAsia" w:eastAsiaTheme="minorEastAsia"/>
          <w:b/>
          <w:bCs/>
          <w:sz w:val="36"/>
          <w:szCs w:val="36"/>
        </w:rPr>
      </w:pPr>
      <w:bookmarkStart w:id="15" w:name="_Toc6905"/>
      <w:r>
        <w:rPr>
          <w:rFonts w:hint="eastAsia" w:cs="仿宋_GB2312" w:asciiTheme="minorEastAsia" w:hAnsiTheme="minorEastAsia" w:eastAsiaTheme="minorEastAsia"/>
          <w:b/>
          <w:bCs/>
          <w:sz w:val="36"/>
          <w:szCs w:val="36"/>
        </w:rPr>
        <w:t>第五章</w:t>
      </w:r>
      <w:r>
        <w:rPr>
          <w:rFonts w:hint="eastAsia" w:cs="仿宋_GB2312" w:asciiTheme="minorEastAsia" w:hAnsiTheme="minorEastAsia" w:eastAsiaTheme="minorEastAsia"/>
          <w:b/>
          <w:bCs/>
          <w:sz w:val="36"/>
          <w:szCs w:val="36"/>
          <w:lang w:val="en-US"/>
        </w:rPr>
        <w:t xml:space="preserve"> </w:t>
      </w:r>
      <w:r>
        <w:rPr>
          <w:rFonts w:hint="eastAsia" w:cs="仿宋_GB2312" w:asciiTheme="minorEastAsia" w:hAnsiTheme="minorEastAsia" w:eastAsiaTheme="minorEastAsia"/>
          <w:b/>
          <w:bCs/>
          <w:sz w:val="36"/>
          <w:szCs w:val="36"/>
        </w:rPr>
        <w:t>矿山地质环境治理工程验收及完成情况</w:t>
      </w:r>
      <w:bookmarkEnd w:id="15"/>
    </w:p>
    <w:p>
      <w:pPr>
        <w:pStyle w:val="7"/>
        <w:spacing w:line="600" w:lineRule="exact"/>
        <w:ind w:firstLine="643" w:firstLineChars="200"/>
        <w:jc w:val="center"/>
        <w:outlineLvl w:val="1"/>
        <w:rPr>
          <w:rFonts w:cs="仿宋_GB2312" w:asciiTheme="minorEastAsia" w:hAnsiTheme="minorEastAsia" w:eastAsiaTheme="minorEastAsia"/>
          <w:b/>
          <w:bCs/>
          <w:lang w:val="en-US"/>
        </w:rPr>
      </w:pPr>
      <w:bookmarkStart w:id="16" w:name="_Toc26746"/>
      <w:r>
        <w:rPr>
          <w:rFonts w:hint="eastAsia" w:cs="仿宋_GB2312" w:asciiTheme="minorEastAsia" w:hAnsiTheme="minorEastAsia" w:eastAsiaTheme="minorEastAsia"/>
          <w:b/>
          <w:bCs/>
          <w:lang w:val="en-US"/>
        </w:rPr>
        <w:t>第一节 矿山地质环境治理工程验收情况</w:t>
      </w:r>
      <w:bookmarkEnd w:id="16"/>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2016年7月19 日，乌海市国土资源局组织专家对内蒙古黄河工贸集团滴沥帮煤炭有限公司煤矿的矿山地质环境分期治理工程按方案进行了实地验收。验收工程：1.矿山地下开采形成采空区54600平方米，在采空区范围内设置警示牌2块。2.设置了网围栏，但网围栏设置长度不够。3.在采空区设置了监测点，检测记录基本齐全。4.建井过程中产生的矸石一部分用于场地平整，另一部分用于储煤场、工业广场的平整，现场未见矸石堆置。5.办公场地硬化3650平方米，绿化3600平方米。6.拆除临时工棚等建筑物1600平方米，并进行场地平整后硬化绿化。治理费用76.97万元。2013年整合至今处于长期停产状态。</w:t>
      </w:r>
    </w:p>
    <w:p>
      <w:pPr>
        <w:pStyle w:val="7"/>
        <w:spacing w:line="620" w:lineRule="exact"/>
        <w:jc w:val="center"/>
        <w:outlineLvl w:val="1"/>
        <w:rPr>
          <w:rFonts w:cs="仿宋_GB2312" w:asciiTheme="minorEastAsia" w:hAnsiTheme="minorEastAsia" w:eastAsiaTheme="minorEastAsia"/>
          <w:b/>
          <w:bCs/>
          <w:sz w:val="30"/>
          <w:szCs w:val="30"/>
          <w:lang w:val="en-US"/>
        </w:rPr>
      </w:pPr>
      <w:bookmarkStart w:id="17" w:name="_Toc7339"/>
      <w:r>
        <w:rPr>
          <w:rFonts w:hint="eastAsia" w:cs="仿宋_GB2312" w:asciiTheme="minorEastAsia" w:hAnsiTheme="minorEastAsia" w:eastAsiaTheme="minorEastAsia"/>
          <w:b/>
          <w:bCs/>
          <w:sz w:val="30"/>
          <w:szCs w:val="30"/>
          <w:lang w:val="en-US"/>
        </w:rPr>
        <w:t>第二节</w:t>
      </w:r>
      <w:r>
        <w:rPr>
          <w:rFonts w:hint="eastAsia" w:cs="仿宋_GB2312" w:asciiTheme="minorEastAsia" w:hAnsiTheme="minorEastAsia" w:eastAsiaTheme="minorEastAsia"/>
          <w:b/>
          <w:bCs/>
          <w:color w:val="auto"/>
          <w:sz w:val="30"/>
          <w:szCs w:val="30"/>
          <w:lang w:val="en-US"/>
        </w:rPr>
        <w:t xml:space="preserve"> </w:t>
      </w:r>
      <w:r>
        <w:rPr>
          <w:rFonts w:hint="eastAsia" w:cs="仿宋_GB2312" w:asciiTheme="minorEastAsia" w:hAnsiTheme="minorEastAsia" w:eastAsiaTheme="minorEastAsia"/>
          <w:b/>
          <w:bCs/>
          <w:color w:val="auto"/>
          <w:sz w:val="30"/>
          <w:szCs w:val="30"/>
          <w:lang w:val="en-US" w:eastAsia="zh-CN"/>
        </w:rPr>
        <w:t>2020</w:t>
      </w:r>
      <w:r>
        <w:rPr>
          <w:rFonts w:hint="eastAsia" w:cs="仿宋_GB2312" w:asciiTheme="minorEastAsia" w:hAnsiTheme="minorEastAsia" w:eastAsiaTheme="minorEastAsia"/>
          <w:b/>
          <w:bCs/>
          <w:color w:val="auto"/>
          <w:sz w:val="30"/>
          <w:szCs w:val="30"/>
          <w:lang w:val="en-US"/>
        </w:rPr>
        <w:t>年</w:t>
      </w:r>
      <w:r>
        <w:rPr>
          <w:rFonts w:hint="eastAsia" w:cs="仿宋_GB2312" w:asciiTheme="minorEastAsia" w:hAnsiTheme="minorEastAsia" w:eastAsiaTheme="minorEastAsia"/>
          <w:b/>
          <w:bCs/>
          <w:sz w:val="30"/>
          <w:szCs w:val="30"/>
          <w:lang w:val="en-US"/>
        </w:rPr>
        <w:t>度地质环境治理工程完成情况</w:t>
      </w:r>
      <w:bookmarkEnd w:id="17"/>
    </w:p>
    <w:p>
      <w:pPr>
        <w:autoSpaceDE/>
        <w:autoSpaceDN/>
        <w:spacing w:line="620" w:lineRule="exact"/>
        <w:ind w:firstLine="600" w:firstLineChars="200"/>
        <w:jc w:val="both"/>
        <w:rPr>
          <w:rFonts w:hint="default" w:asciiTheme="minorEastAsia" w:hAnsiTheme="minorEastAsia" w:eastAsiaTheme="minorEastAsia"/>
          <w:sz w:val="30"/>
          <w:szCs w:val="30"/>
          <w:lang w:val="en-US" w:eastAsia="zh-CN"/>
        </w:rPr>
      </w:pPr>
      <w:r>
        <w:rPr>
          <w:rFonts w:hint="eastAsia" w:asciiTheme="minorEastAsia" w:hAnsiTheme="minorEastAsia" w:eastAsiaTheme="minorEastAsia"/>
          <w:sz w:val="30"/>
          <w:szCs w:val="30"/>
          <w:lang w:val="en-US"/>
        </w:rPr>
        <w:t>内蒙古黄河工贸集团滴沥帮煤炭有限公司煤</w:t>
      </w:r>
      <w:r>
        <w:rPr>
          <w:rFonts w:hint="eastAsia" w:asciiTheme="minorEastAsia" w:hAnsiTheme="minorEastAsia" w:eastAsiaTheme="minorEastAsia"/>
          <w:color w:val="auto"/>
          <w:sz w:val="30"/>
          <w:szCs w:val="30"/>
          <w:lang w:val="en-US"/>
        </w:rPr>
        <w:t>矿</w:t>
      </w:r>
      <w:r>
        <w:rPr>
          <w:rFonts w:hint="eastAsia" w:asciiTheme="minorEastAsia" w:hAnsiTheme="minorEastAsia" w:eastAsiaTheme="minorEastAsia"/>
          <w:color w:val="auto"/>
          <w:sz w:val="30"/>
          <w:szCs w:val="30"/>
          <w:lang w:val="en-US" w:eastAsia="zh-CN"/>
        </w:rPr>
        <w:t>2020</w:t>
      </w:r>
      <w:r>
        <w:rPr>
          <w:rFonts w:hint="eastAsia" w:asciiTheme="minorEastAsia" w:hAnsiTheme="minorEastAsia" w:eastAsiaTheme="minorEastAsia"/>
          <w:color w:val="auto"/>
          <w:sz w:val="30"/>
          <w:szCs w:val="30"/>
          <w:lang w:val="en-US"/>
        </w:rPr>
        <w:t>年</w:t>
      </w:r>
      <w:r>
        <w:rPr>
          <w:rFonts w:hint="eastAsia" w:asciiTheme="minorEastAsia" w:hAnsiTheme="minorEastAsia" w:eastAsiaTheme="minorEastAsia"/>
          <w:sz w:val="30"/>
          <w:szCs w:val="30"/>
          <w:lang w:val="en-US"/>
        </w:rPr>
        <w:t>完成绿化面积200㎡，栽松树100棵，设置地质灾害警示牌板1块。</w:t>
      </w:r>
      <w:r>
        <w:rPr>
          <w:rFonts w:hint="eastAsia" w:asciiTheme="minorEastAsia" w:hAnsiTheme="minorEastAsia" w:eastAsiaTheme="minorEastAsia"/>
          <w:sz w:val="30"/>
          <w:szCs w:val="30"/>
          <w:lang w:val="en-US" w:eastAsia="zh-CN"/>
        </w:rPr>
        <w:t>投入资金3万元。</w:t>
      </w:r>
    </w:p>
    <w:p>
      <w:pPr>
        <w:spacing w:line="600" w:lineRule="exact"/>
        <w:ind w:firstLine="554" w:firstLineChars="198"/>
        <w:rPr>
          <w:rFonts w:asciiTheme="minorEastAsia" w:hAnsiTheme="minorEastAsia" w:eastAsiaTheme="minorEastAsia"/>
          <w:sz w:val="28"/>
          <w:szCs w:val="28"/>
          <w:lang w:val="en-US"/>
        </w:rPr>
      </w:pPr>
    </w:p>
    <w:p>
      <w:pPr>
        <w:ind w:firstLine="723" w:firstLineChars="200"/>
        <w:jc w:val="center"/>
        <w:outlineLvl w:val="0"/>
        <w:rPr>
          <w:rFonts w:cs="仿宋_GB2312" w:asciiTheme="minorEastAsia" w:hAnsiTheme="minorEastAsia" w:eastAsiaTheme="minorEastAsia"/>
          <w:b/>
          <w:bCs/>
          <w:sz w:val="30"/>
          <w:szCs w:val="30"/>
          <w:lang w:val="en-US"/>
        </w:rPr>
      </w:pPr>
      <w:bookmarkStart w:id="18" w:name="_Toc1833"/>
      <w:r>
        <w:rPr>
          <w:rFonts w:hint="eastAsia" w:cs="仿宋_GB2312" w:asciiTheme="minorEastAsia" w:hAnsiTheme="minorEastAsia" w:eastAsiaTheme="minorEastAsia"/>
          <w:b/>
          <w:bCs/>
          <w:sz w:val="36"/>
          <w:szCs w:val="36"/>
        </w:rPr>
        <w:t>第六章</w:t>
      </w:r>
      <w:r>
        <w:rPr>
          <w:rFonts w:hint="eastAsia" w:cs="仿宋_GB2312" w:asciiTheme="minorEastAsia" w:hAnsiTheme="minorEastAsia" w:eastAsiaTheme="minorEastAsia"/>
          <w:b/>
          <w:bCs/>
          <w:sz w:val="36"/>
          <w:szCs w:val="36"/>
          <w:lang w:val="en-US"/>
        </w:rPr>
        <w:t xml:space="preserve"> </w:t>
      </w:r>
      <w:r>
        <w:rPr>
          <w:rFonts w:hint="eastAsia" w:cs="仿宋_GB2312" w:asciiTheme="minorEastAsia" w:hAnsiTheme="minorEastAsia" w:eastAsiaTheme="minorEastAsia"/>
          <w:b/>
          <w:bCs/>
          <w:sz w:val="36"/>
          <w:szCs w:val="36"/>
          <w:lang w:val="en-US" w:eastAsia="zh-CN"/>
        </w:rPr>
        <w:t xml:space="preserve"> </w:t>
      </w:r>
      <w:r>
        <w:rPr>
          <w:rFonts w:hint="eastAsia" w:cs="仿宋_GB2312" w:asciiTheme="minorEastAsia" w:hAnsiTheme="minorEastAsia" w:eastAsiaTheme="minorEastAsia"/>
          <w:b/>
          <w:bCs/>
          <w:sz w:val="36"/>
          <w:szCs w:val="36"/>
        </w:rPr>
        <w:t>202</w:t>
      </w:r>
      <w:r>
        <w:rPr>
          <w:rFonts w:hint="eastAsia" w:cs="仿宋_GB2312" w:asciiTheme="minorEastAsia" w:hAnsiTheme="minorEastAsia" w:eastAsiaTheme="minorEastAsia"/>
          <w:b/>
          <w:bCs/>
          <w:sz w:val="36"/>
          <w:szCs w:val="36"/>
          <w:lang w:val="en-US"/>
        </w:rPr>
        <w:t>1</w:t>
      </w:r>
      <w:r>
        <w:rPr>
          <w:rFonts w:hint="eastAsia" w:cs="仿宋_GB2312" w:asciiTheme="minorEastAsia" w:hAnsiTheme="minorEastAsia" w:eastAsiaTheme="minorEastAsia"/>
          <w:b/>
          <w:bCs/>
          <w:sz w:val="36"/>
          <w:szCs w:val="36"/>
        </w:rPr>
        <w:t>年地质环境治理工程拟计划情况</w:t>
      </w:r>
      <w:bookmarkEnd w:id="18"/>
    </w:p>
    <w:p>
      <w:pPr>
        <w:spacing w:line="600" w:lineRule="exact"/>
        <w:ind w:firstLine="554" w:firstLineChars="198"/>
        <w:rPr>
          <w:rFonts w:asciiTheme="minorEastAsia" w:hAnsiTheme="minorEastAsia" w:eastAsiaTheme="minorEastAsia"/>
          <w:sz w:val="28"/>
          <w:szCs w:val="28"/>
        </w:rPr>
      </w:pPr>
      <w:r>
        <w:rPr>
          <w:rFonts w:hint="eastAsia" w:asciiTheme="minorEastAsia" w:hAnsiTheme="minorEastAsia" w:eastAsiaTheme="minorEastAsia"/>
          <w:sz w:val="28"/>
          <w:szCs w:val="28"/>
        </w:rPr>
        <w:t>根据《</w:t>
      </w:r>
      <w:r>
        <w:rPr>
          <w:rFonts w:hint="eastAsia" w:asciiTheme="minorEastAsia" w:hAnsiTheme="minorEastAsia" w:eastAsiaTheme="minorEastAsia"/>
          <w:sz w:val="28"/>
          <w:szCs w:val="28"/>
          <w:lang w:eastAsia="zh-CN"/>
        </w:rPr>
        <w:t>内蒙古黄河工贸集团滴沥帮煤炭有限公司煤矿</w:t>
      </w:r>
      <w:r>
        <w:rPr>
          <w:rFonts w:hint="eastAsia" w:asciiTheme="minorEastAsia" w:hAnsiTheme="minorEastAsia" w:eastAsiaTheme="minorEastAsia"/>
          <w:sz w:val="28"/>
          <w:szCs w:val="28"/>
        </w:rPr>
        <w:t>二矿矿山环境保护与综合治理方案》中矿山环境保护与综合治理工作部署滴沥帮煤矿矿山环境保护与综合治理方案规划时限为28年（2010年</w:t>
      </w:r>
      <w:r>
        <w:rPr>
          <w:rFonts w:hint="eastAsia" w:ascii="微软雅黑" w:hAnsi="微软雅黑" w:eastAsia="微软雅黑" w:cs="微软雅黑"/>
          <w:sz w:val="28"/>
          <w:szCs w:val="28"/>
        </w:rPr>
        <w:t>〜</w:t>
      </w:r>
      <w:r>
        <w:rPr>
          <w:rFonts w:hint="eastAsia" w:asciiTheme="minorEastAsia" w:hAnsiTheme="minorEastAsia" w:eastAsiaTheme="minorEastAsia"/>
          <w:sz w:val="28"/>
          <w:szCs w:val="28"/>
        </w:rPr>
        <w:t>2037年</w:t>
      </w:r>
      <w:r>
        <w:rPr>
          <w:rFonts w:hint="eastAsia" w:asciiTheme="minorEastAsia" w:hAnsiTheme="minorEastAsia" w:eastAsiaTheme="minorEastAsia"/>
          <w:sz w:val="28"/>
          <w:szCs w:val="28"/>
          <w:lang w:val="en-US"/>
        </w:rPr>
        <w:t>)</w:t>
      </w:r>
      <w:r>
        <w:rPr>
          <w:rFonts w:hint="eastAsia" w:asciiTheme="minorEastAsia" w:hAnsiTheme="minorEastAsia" w:eastAsiaTheme="minorEastAsia"/>
          <w:sz w:val="28"/>
          <w:szCs w:val="28"/>
        </w:rPr>
        <w:t xml:space="preserve"> 根据治理目标，制定的治理规划分近期、中期和远期。确定近期综合治理规划时限为 3年（2010-2012年），规划治理内容为监测和合理建设储煤场；中期综合治理规划 时限为22年（2013</w:t>
      </w:r>
      <w:r>
        <w:rPr>
          <w:rFonts w:hint="eastAsia" w:ascii="微软雅黑" w:hAnsi="微软雅黑" w:eastAsia="微软雅黑" w:cs="微软雅黑"/>
          <w:sz w:val="28"/>
          <w:szCs w:val="28"/>
        </w:rPr>
        <w:t>〜</w:t>
      </w:r>
      <w:r>
        <w:rPr>
          <w:rFonts w:hint="eastAsia" w:asciiTheme="minorEastAsia" w:hAnsiTheme="minorEastAsia" w:eastAsiaTheme="minorEastAsia"/>
          <w:sz w:val="28"/>
          <w:szCs w:val="28"/>
        </w:rPr>
        <w:t>2034年），规划治理区为未来实际形成的地面塌陷区和储煤场; 远期综合治理规划时限为3年（2035</w:t>
      </w:r>
      <w:r>
        <w:rPr>
          <w:rFonts w:hint="eastAsia" w:ascii="微软雅黑" w:hAnsi="微软雅黑" w:eastAsia="微软雅黑" w:cs="微软雅黑"/>
          <w:sz w:val="28"/>
          <w:szCs w:val="28"/>
        </w:rPr>
        <w:t>〜</w:t>
      </w:r>
      <w:r>
        <w:rPr>
          <w:rFonts w:hint="eastAsia" w:asciiTheme="minorEastAsia" w:hAnsiTheme="minorEastAsia" w:eastAsiaTheme="minorEastAsia"/>
          <w:sz w:val="28"/>
          <w:szCs w:val="28"/>
        </w:rPr>
        <w:t>2037年），规划治理区为未来实际形成的地面 塌陷区和储煤场。</w:t>
      </w:r>
    </w:p>
    <w:p>
      <w:pPr>
        <w:spacing w:line="600" w:lineRule="exact"/>
        <w:ind w:firstLine="554" w:firstLineChars="198"/>
        <w:rPr>
          <w:rFonts w:asciiTheme="minorEastAsia" w:hAnsiTheme="minorEastAsia" w:eastAsiaTheme="minorEastAsia"/>
          <w:sz w:val="28"/>
          <w:szCs w:val="28"/>
          <w:lang w:val="en-US"/>
        </w:rPr>
      </w:pPr>
      <w:r>
        <w:rPr>
          <w:rFonts w:hint="eastAsia" w:asciiTheme="minorEastAsia" w:hAnsiTheme="minorEastAsia" w:eastAsiaTheme="minorEastAsia"/>
          <w:sz w:val="28"/>
          <w:szCs w:val="28"/>
        </w:rPr>
        <w:t>但因矿山处于整合、停产阶段，</w:t>
      </w:r>
      <w:r>
        <w:rPr>
          <w:rFonts w:hint="eastAsia" w:asciiTheme="minorEastAsia" w:hAnsiTheme="minorEastAsia" w:eastAsiaTheme="minorEastAsia"/>
          <w:sz w:val="28"/>
          <w:szCs w:val="28"/>
          <w:lang w:val="en-US"/>
        </w:rPr>
        <w:t>2021年将继续办理三个煤矿资源整合手续，办理完成后委托有资质单位编制整合后的《矿山地质环境治理方案及土地复垦方案》，评审备案后按照新方案实施治理工作。如本年未办理完成整合手续。2021年拟计划完成如下治理工作：</w:t>
      </w:r>
    </w:p>
    <w:p>
      <w:pPr>
        <w:spacing w:line="600" w:lineRule="exact"/>
        <w:ind w:firstLine="554" w:firstLineChars="198"/>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1.绿化：在矿区范围内进行绿化栽松树50棵，完成绿化面积100㎡。</w:t>
      </w:r>
    </w:p>
    <w:p>
      <w:pPr>
        <w:spacing w:line="600" w:lineRule="exact"/>
        <w:ind w:firstLine="554" w:firstLineChars="198"/>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2.警示牌：对矿区</w:t>
      </w:r>
      <w:r>
        <w:rPr>
          <w:rFonts w:asciiTheme="minorEastAsia" w:hAnsiTheme="minorEastAsia" w:eastAsiaTheme="minorEastAsia"/>
          <w:sz w:val="28"/>
          <w:szCs w:val="28"/>
          <w:lang w:val="en-US"/>
        </w:rPr>
        <w:t>周边易发生危险地带合理</w:t>
      </w:r>
      <w:r>
        <w:rPr>
          <w:rFonts w:hint="eastAsia" w:asciiTheme="minorEastAsia" w:hAnsiTheme="minorEastAsia" w:eastAsiaTheme="minorEastAsia"/>
          <w:sz w:val="28"/>
          <w:szCs w:val="28"/>
          <w:lang w:val="en-US"/>
        </w:rPr>
        <w:t>增加</w:t>
      </w:r>
      <w:r>
        <w:rPr>
          <w:rFonts w:asciiTheme="minorEastAsia" w:hAnsiTheme="minorEastAsia" w:eastAsiaTheme="minorEastAsia"/>
          <w:sz w:val="28"/>
          <w:szCs w:val="28"/>
          <w:lang w:val="en-US"/>
        </w:rPr>
        <w:t xml:space="preserve">设置警示牌，以确保采矿工作人员及矿山通行车辆的安全。本期设置警示牌 </w:t>
      </w:r>
      <w:r>
        <w:rPr>
          <w:rFonts w:hint="eastAsia" w:asciiTheme="minorEastAsia" w:hAnsiTheme="minorEastAsia" w:eastAsiaTheme="minorEastAsia"/>
          <w:sz w:val="28"/>
          <w:szCs w:val="28"/>
          <w:lang w:val="en-US"/>
        </w:rPr>
        <w:t>1</w:t>
      </w:r>
      <w:r>
        <w:rPr>
          <w:rFonts w:asciiTheme="minorEastAsia" w:hAnsiTheme="minorEastAsia" w:eastAsiaTheme="minorEastAsia"/>
          <w:sz w:val="28"/>
          <w:szCs w:val="28"/>
          <w:lang w:val="en-US"/>
        </w:rPr>
        <w:t xml:space="preserve"> 块。 </w:t>
      </w:r>
    </w:p>
    <w:p>
      <w:pPr>
        <w:spacing w:line="600" w:lineRule="exact"/>
        <w:ind w:firstLine="554" w:firstLineChars="198"/>
        <w:rPr>
          <w:rFonts w:hint="eastAsia"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3.对矿区地面进行监测。</w:t>
      </w:r>
    </w:p>
    <w:p>
      <w:pPr>
        <w:spacing w:line="280" w:lineRule="exact"/>
        <w:ind w:firstLine="3070" w:firstLineChars="1274"/>
        <w:rPr>
          <w:b/>
          <w:sz w:val="24"/>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b/>
          <w:sz w:val="28"/>
          <w:szCs w:val="24"/>
        </w:rPr>
      </w:pPr>
      <w:r>
        <w:rPr>
          <w:b/>
          <w:sz w:val="28"/>
          <w:szCs w:val="24"/>
        </w:rPr>
        <w:t>治理工程投资概算表</w:t>
      </w:r>
    </w:p>
    <w:tbl>
      <w:tblPr>
        <w:tblStyle w:val="12"/>
        <w:tblpPr w:leftFromText="180" w:rightFromText="180" w:vertAnchor="text" w:horzAnchor="page" w:tblpX="1614" w:tblpY="120"/>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1522"/>
        <w:gridCol w:w="1026"/>
        <w:gridCol w:w="1236"/>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4" w:type="dxa"/>
            <w:vAlign w:val="center"/>
          </w:tcPr>
          <w:p>
            <w:pPr>
              <w:spacing w:line="280" w:lineRule="exact"/>
              <w:jc w:val="center"/>
              <w:rPr>
                <w:b/>
                <w:sz w:val="24"/>
              </w:rPr>
            </w:pPr>
            <w:r>
              <w:rPr>
                <w:b/>
                <w:sz w:val="24"/>
              </w:rPr>
              <w:t>治理工程项目</w:t>
            </w:r>
          </w:p>
        </w:tc>
        <w:tc>
          <w:tcPr>
            <w:tcW w:w="1522" w:type="dxa"/>
            <w:vAlign w:val="center"/>
          </w:tcPr>
          <w:p>
            <w:pPr>
              <w:spacing w:line="280" w:lineRule="exact"/>
              <w:ind w:firstLine="120" w:firstLineChars="50"/>
              <w:jc w:val="center"/>
              <w:rPr>
                <w:b/>
                <w:sz w:val="24"/>
              </w:rPr>
            </w:pPr>
            <w:r>
              <w:rPr>
                <w:b/>
                <w:sz w:val="24"/>
              </w:rPr>
              <w:t>工程量</w:t>
            </w:r>
          </w:p>
        </w:tc>
        <w:tc>
          <w:tcPr>
            <w:tcW w:w="1026" w:type="dxa"/>
            <w:vAlign w:val="center"/>
          </w:tcPr>
          <w:p>
            <w:pPr>
              <w:spacing w:line="280" w:lineRule="exact"/>
              <w:jc w:val="center"/>
              <w:rPr>
                <w:b/>
                <w:sz w:val="24"/>
              </w:rPr>
            </w:pPr>
            <w:r>
              <w:rPr>
                <w:b/>
                <w:sz w:val="24"/>
              </w:rPr>
              <w:t>单价</w:t>
            </w:r>
          </w:p>
          <w:p>
            <w:pPr>
              <w:spacing w:line="280" w:lineRule="exact"/>
              <w:jc w:val="center"/>
              <w:rPr>
                <w:b/>
                <w:sz w:val="24"/>
              </w:rPr>
            </w:pPr>
            <w:r>
              <w:rPr>
                <w:b/>
                <w:sz w:val="24"/>
              </w:rPr>
              <w:t>（元）</w:t>
            </w:r>
          </w:p>
        </w:tc>
        <w:tc>
          <w:tcPr>
            <w:tcW w:w="1236" w:type="dxa"/>
            <w:vAlign w:val="center"/>
          </w:tcPr>
          <w:p>
            <w:pPr>
              <w:spacing w:line="280" w:lineRule="exact"/>
              <w:jc w:val="center"/>
              <w:rPr>
                <w:b/>
                <w:sz w:val="24"/>
              </w:rPr>
            </w:pPr>
            <w:r>
              <w:rPr>
                <w:b/>
                <w:sz w:val="24"/>
              </w:rPr>
              <w:t>费用</w:t>
            </w:r>
          </w:p>
          <w:p>
            <w:pPr>
              <w:spacing w:line="280" w:lineRule="exact"/>
              <w:jc w:val="center"/>
              <w:rPr>
                <w:b/>
                <w:sz w:val="24"/>
              </w:rPr>
            </w:pPr>
            <w:r>
              <w:rPr>
                <w:b/>
                <w:sz w:val="24"/>
              </w:rPr>
              <w:t>（元）</w:t>
            </w:r>
          </w:p>
        </w:tc>
        <w:tc>
          <w:tcPr>
            <w:tcW w:w="2460" w:type="dxa"/>
            <w:vAlign w:val="center"/>
          </w:tcPr>
          <w:p>
            <w:pPr>
              <w:spacing w:line="360" w:lineRule="auto"/>
              <w:ind w:firstLine="482" w:firstLineChars="200"/>
              <w:jc w:val="center"/>
              <w:rPr>
                <w:b/>
                <w:sz w:val="24"/>
              </w:rPr>
            </w:pPr>
            <w:r>
              <w:rPr>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84" w:type="dxa"/>
            <w:vAlign w:val="center"/>
          </w:tcPr>
          <w:p>
            <w:pPr>
              <w:spacing w:line="240" w:lineRule="atLeast"/>
              <w:jc w:val="center"/>
              <w:rPr>
                <w:sz w:val="24"/>
              </w:rPr>
            </w:pPr>
            <w:r>
              <w:rPr>
                <w:rFonts w:hint="eastAsia"/>
                <w:sz w:val="24"/>
              </w:rPr>
              <w:t>植树（绿化）</w:t>
            </w:r>
          </w:p>
        </w:tc>
        <w:tc>
          <w:tcPr>
            <w:tcW w:w="1522" w:type="dxa"/>
            <w:vAlign w:val="center"/>
          </w:tcPr>
          <w:p>
            <w:pPr>
              <w:spacing w:line="240" w:lineRule="atLeast"/>
              <w:jc w:val="center"/>
              <w:rPr>
                <w:sz w:val="24"/>
              </w:rPr>
            </w:pPr>
            <w:r>
              <w:rPr>
                <w:rFonts w:hint="eastAsia"/>
                <w:sz w:val="28"/>
                <w:szCs w:val="28"/>
                <w:lang w:val="en-US"/>
              </w:rPr>
              <w:t>100㎡</w:t>
            </w:r>
          </w:p>
        </w:tc>
        <w:tc>
          <w:tcPr>
            <w:tcW w:w="1026" w:type="dxa"/>
            <w:vAlign w:val="center"/>
          </w:tcPr>
          <w:p>
            <w:pPr>
              <w:spacing w:before="156" w:beforeLines="50" w:line="240" w:lineRule="atLeast"/>
              <w:jc w:val="center"/>
              <w:rPr>
                <w:sz w:val="24"/>
                <w:lang w:val="en-US"/>
              </w:rPr>
            </w:pPr>
            <w:r>
              <w:rPr>
                <w:rFonts w:hint="eastAsia" w:ascii="仿宋"/>
                <w:sz w:val="20"/>
                <w:lang w:val="en-US"/>
              </w:rPr>
              <w:t>25</w:t>
            </w:r>
          </w:p>
        </w:tc>
        <w:tc>
          <w:tcPr>
            <w:tcW w:w="1236" w:type="dxa"/>
            <w:vAlign w:val="center"/>
          </w:tcPr>
          <w:p>
            <w:pPr>
              <w:spacing w:before="156" w:beforeLines="50" w:line="240" w:lineRule="atLeast"/>
              <w:jc w:val="center"/>
              <w:rPr>
                <w:sz w:val="24"/>
                <w:lang w:val="en-US"/>
              </w:rPr>
            </w:pPr>
            <w:r>
              <w:rPr>
                <w:rFonts w:hint="eastAsia"/>
                <w:sz w:val="24"/>
                <w:lang w:val="en-US"/>
              </w:rPr>
              <w:t>2500</w:t>
            </w:r>
          </w:p>
        </w:tc>
        <w:tc>
          <w:tcPr>
            <w:tcW w:w="2460" w:type="dxa"/>
            <w:vAlign w:val="center"/>
          </w:tcPr>
          <w:p>
            <w:pPr>
              <w:spacing w:before="156" w:beforeLines="50" w:line="24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84" w:type="dxa"/>
            <w:vAlign w:val="center"/>
          </w:tcPr>
          <w:p>
            <w:pPr>
              <w:spacing w:line="240" w:lineRule="atLeast"/>
              <w:jc w:val="center"/>
              <w:rPr>
                <w:sz w:val="24"/>
              </w:rPr>
            </w:pPr>
            <w:r>
              <w:rPr>
                <w:rFonts w:hint="eastAsia"/>
                <w:sz w:val="24"/>
              </w:rPr>
              <w:t>警示牌</w:t>
            </w:r>
          </w:p>
        </w:tc>
        <w:tc>
          <w:tcPr>
            <w:tcW w:w="1522" w:type="dxa"/>
            <w:vAlign w:val="center"/>
          </w:tcPr>
          <w:p>
            <w:pPr>
              <w:spacing w:line="240" w:lineRule="atLeast"/>
              <w:jc w:val="center"/>
              <w:rPr>
                <w:sz w:val="24"/>
                <w:lang w:val="en-US"/>
              </w:rPr>
            </w:pPr>
            <w:r>
              <w:rPr>
                <w:rFonts w:hint="eastAsia"/>
                <w:sz w:val="24"/>
                <w:lang w:val="en-US"/>
              </w:rPr>
              <w:t>1</w:t>
            </w:r>
          </w:p>
        </w:tc>
        <w:tc>
          <w:tcPr>
            <w:tcW w:w="1026" w:type="dxa"/>
            <w:vAlign w:val="center"/>
          </w:tcPr>
          <w:p>
            <w:pPr>
              <w:spacing w:before="156" w:beforeLines="50" w:line="240" w:lineRule="atLeast"/>
              <w:jc w:val="center"/>
              <w:rPr>
                <w:sz w:val="24"/>
              </w:rPr>
            </w:pPr>
            <w:r>
              <w:rPr>
                <w:rFonts w:ascii="仿宋"/>
                <w:sz w:val="20"/>
              </w:rPr>
              <w:t>961.79</w:t>
            </w:r>
          </w:p>
        </w:tc>
        <w:tc>
          <w:tcPr>
            <w:tcW w:w="1236" w:type="dxa"/>
            <w:vAlign w:val="center"/>
          </w:tcPr>
          <w:p>
            <w:pPr>
              <w:spacing w:before="156" w:beforeLines="50" w:line="240" w:lineRule="atLeast"/>
              <w:jc w:val="center"/>
              <w:rPr>
                <w:sz w:val="24"/>
                <w:lang w:val="en-US"/>
              </w:rPr>
            </w:pPr>
            <w:r>
              <w:rPr>
                <w:rFonts w:hint="eastAsia"/>
                <w:sz w:val="24"/>
                <w:lang w:val="en-US"/>
              </w:rPr>
              <w:t>961.79</w:t>
            </w:r>
          </w:p>
        </w:tc>
        <w:tc>
          <w:tcPr>
            <w:tcW w:w="2460" w:type="dxa"/>
            <w:vAlign w:val="center"/>
          </w:tcPr>
          <w:p>
            <w:pPr>
              <w:spacing w:before="156" w:beforeLines="50" w:line="240" w:lineRule="atLeas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684" w:type="dxa"/>
            <w:vAlign w:val="center"/>
          </w:tcPr>
          <w:p>
            <w:pPr>
              <w:spacing w:before="156" w:beforeLines="50" w:line="240" w:lineRule="atLeast"/>
              <w:jc w:val="center"/>
              <w:rPr>
                <w:sz w:val="24"/>
              </w:rPr>
            </w:pPr>
            <w:r>
              <w:rPr>
                <w:sz w:val="24"/>
              </w:rPr>
              <w:t>合</w:t>
            </w:r>
            <w:r>
              <w:rPr>
                <w:rFonts w:hint="eastAsia"/>
                <w:sz w:val="24"/>
              </w:rPr>
              <w:t xml:space="preserve">   </w:t>
            </w:r>
            <w:r>
              <w:rPr>
                <w:sz w:val="24"/>
              </w:rPr>
              <w:t>计</w:t>
            </w:r>
          </w:p>
        </w:tc>
        <w:tc>
          <w:tcPr>
            <w:tcW w:w="1522" w:type="dxa"/>
            <w:vAlign w:val="center"/>
          </w:tcPr>
          <w:p>
            <w:pPr>
              <w:spacing w:before="156" w:beforeLines="50" w:line="240" w:lineRule="atLeast"/>
              <w:jc w:val="center"/>
              <w:rPr>
                <w:sz w:val="24"/>
              </w:rPr>
            </w:pPr>
          </w:p>
        </w:tc>
        <w:tc>
          <w:tcPr>
            <w:tcW w:w="1026" w:type="dxa"/>
            <w:vAlign w:val="center"/>
          </w:tcPr>
          <w:p>
            <w:pPr>
              <w:pStyle w:val="25"/>
              <w:autoSpaceDE/>
              <w:autoSpaceDN/>
              <w:adjustRightInd/>
              <w:spacing w:before="156" w:beforeLines="50" w:line="240" w:lineRule="atLeast"/>
              <w:ind w:firstLine="400" w:firstLineChars="0"/>
              <w:jc w:val="center"/>
              <w:rPr>
                <w:rFonts w:ascii="Times New Roman"/>
                <w:color w:val="auto"/>
                <w:spacing w:val="0"/>
                <w:kern w:val="2"/>
                <w:szCs w:val="24"/>
              </w:rPr>
            </w:pPr>
          </w:p>
        </w:tc>
        <w:tc>
          <w:tcPr>
            <w:tcW w:w="1236" w:type="dxa"/>
            <w:vAlign w:val="center"/>
          </w:tcPr>
          <w:p>
            <w:pPr>
              <w:spacing w:line="240" w:lineRule="atLeast"/>
              <w:jc w:val="center"/>
              <w:rPr>
                <w:sz w:val="24"/>
                <w:lang w:val="en-US"/>
              </w:rPr>
            </w:pPr>
            <w:r>
              <w:rPr>
                <w:rFonts w:hint="eastAsia"/>
                <w:sz w:val="24"/>
                <w:lang w:val="en-US"/>
              </w:rPr>
              <w:t>3461.79</w:t>
            </w:r>
          </w:p>
        </w:tc>
        <w:tc>
          <w:tcPr>
            <w:tcW w:w="2460" w:type="dxa"/>
            <w:vAlign w:val="center"/>
          </w:tcPr>
          <w:p>
            <w:pPr>
              <w:spacing w:line="240" w:lineRule="atLeast"/>
              <w:jc w:val="center"/>
              <w:rPr>
                <w:sz w:val="24"/>
              </w:rPr>
            </w:pPr>
          </w:p>
        </w:tc>
      </w:tr>
    </w:tbl>
    <w:p>
      <w:pPr>
        <w:spacing w:line="600" w:lineRule="exact"/>
        <w:ind w:firstLine="554" w:firstLineChars="198"/>
        <w:rPr>
          <w:sz w:val="28"/>
          <w:szCs w:val="28"/>
          <w:lang w:val="en-US"/>
        </w:rPr>
      </w:pPr>
    </w:p>
    <w:p>
      <w:pPr>
        <w:ind w:firstLine="723" w:firstLineChars="200"/>
        <w:jc w:val="center"/>
        <w:outlineLvl w:val="0"/>
        <w:rPr>
          <w:rFonts w:cs="仿宋_GB2312" w:asciiTheme="minorEastAsia" w:hAnsiTheme="minorEastAsia" w:eastAsiaTheme="minorEastAsia"/>
          <w:b/>
          <w:bCs/>
          <w:sz w:val="36"/>
          <w:szCs w:val="36"/>
        </w:rPr>
      </w:pPr>
      <w:bookmarkStart w:id="19" w:name="_Toc23280"/>
      <w:r>
        <w:rPr>
          <w:rFonts w:hint="eastAsia" w:cs="仿宋_GB2312" w:asciiTheme="minorEastAsia" w:hAnsiTheme="minorEastAsia" w:eastAsiaTheme="minorEastAsia"/>
          <w:b/>
          <w:bCs/>
          <w:sz w:val="36"/>
          <w:szCs w:val="36"/>
        </w:rPr>
        <w:t>第七章</w:t>
      </w:r>
      <w:r>
        <w:rPr>
          <w:rFonts w:hint="eastAsia" w:cs="仿宋_GB2312" w:asciiTheme="minorEastAsia" w:hAnsiTheme="minorEastAsia" w:eastAsiaTheme="minorEastAsia"/>
          <w:b/>
          <w:bCs/>
          <w:sz w:val="36"/>
          <w:szCs w:val="36"/>
          <w:lang w:val="en-US"/>
        </w:rPr>
        <w:t xml:space="preserve">  </w:t>
      </w:r>
      <w:r>
        <w:rPr>
          <w:rFonts w:hint="eastAsia" w:cs="仿宋_GB2312" w:asciiTheme="minorEastAsia" w:hAnsiTheme="minorEastAsia" w:eastAsiaTheme="minorEastAsia"/>
          <w:b/>
          <w:bCs/>
          <w:sz w:val="36"/>
          <w:szCs w:val="36"/>
        </w:rPr>
        <w:t>202</w:t>
      </w:r>
      <w:r>
        <w:rPr>
          <w:rFonts w:hint="eastAsia" w:cs="仿宋_GB2312" w:asciiTheme="minorEastAsia" w:hAnsiTheme="minorEastAsia" w:eastAsiaTheme="minorEastAsia"/>
          <w:b/>
          <w:bCs/>
          <w:sz w:val="36"/>
          <w:szCs w:val="36"/>
          <w:lang w:val="en-US"/>
        </w:rPr>
        <w:t>1</w:t>
      </w:r>
      <w:r>
        <w:rPr>
          <w:rFonts w:hint="eastAsia" w:cs="仿宋_GB2312" w:asciiTheme="minorEastAsia" w:hAnsiTheme="minorEastAsia" w:eastAsiaTheme="minorEastAsia"/>
          <w:b/>
          <w:bCs/>
          <w:sz w:val="36"/>
          <w:szCs w:val="36"/>
        </w:rPr>
        <w:t>年计提矿山地质环境治理基金情况</w:t>
      </w:r>
      <w:bookmarkEnd w:id="19"/>
    </w:p>
    <w:p>
      <w:pPr>
        <w:spacing w:line="600" w:lineRule="exact"/>
        <w:ind w:firstLine="600" w:firstLineChars="200"/>
        <w:rPr>
          <w:rFonts w:asciiTheme="minorEastAsia" w:hAnsiTheme="minorEastAsia" w:eastAsiaTheme="minorEastAsia"/>
          <w:sz w:val="30"/>
          <w:szCs w:val="30"/>
        </w:rPr>
      </w:pPr>
      <w:r>
        <w:rPr>
          <w:rFonts w:asciiTheme="minorEastAsia" w:hAnsiTheme="minorEastAsia" w:eastAsiaTheme="minorEastAsia"/>
          <w:sz w:val="30"/>
          <w:szCs w:val="30"/>
          <w:lang w:val="en-US"/>
        </w:rPr>
        <w:t>滴沥帮乌素二矿采矿许可证证号：C1500002010041120061599; 证载生产能力30万吨/年；</w:t>
      </w:r>
      <w:r>
        <w:rPr>
          <w:rFonts w:hint="eastAsia" w:asciiTheme="minorEastAsia" w:hAnsiTheme="minorEastAsia" w:eastAsiaTheme="minorEastAsia"/>
          <w:sz w:val="30"/>
          <w:szCs w:val="30"/>
          <w:lang w:val="en-US"/>
        </w:rPr>
        <w:t>因本矿目前处于整合、停产阶段。未进行开采活动。</w:t>
      </w:r>
    </w:p>
    <w:p>
      <w:pPr>
        <w:spacing w:line="600" w:lineRule="exact"/>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按照〈内蒙古自治区自然资源厅内蒙古自治区财政厅内蒙古自治区生态环境厅关于印发《内蒙古自治区矿山地质环境治理恢复基金管理办法（试行））的通知〉中基金计提计算方法。</w:t>
      </w:r>
    </w:p>
    <w:p>
      <w:pPr>
        <w:spacing w:line="600" w:lineRule="exact"/>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年度基金提取额=矿类计提基数×露天开采影响系数（或地下开采影响系数）×土地复垦难度影响系数×地区影响系数×煤矿价格影响系数（开采矿种为煤的时候增加该系数）×上一年度生产矿石量。</w:t>
      </w:r>
    </w:p>
    <w:p>
      <w:pPr>
        <w:spacing w:line="600" w:lineRule="exact"/>
        <w:ind w:firstLine="594" w:firstLineChars="198"/>
        <w:rPr>
          <w:rFonts w:ascii="仿宋_GB2312" w:eastAsia="仿宋_GB2312"/>
          <w:color w:val="auto"/>
          <w:sz w:val="28"/>
          <w:szCs w:val="28"/>
          <w:lang w:val="en-US"/>
        </w:rPr>
      </w:pPr>
      <w:r>
        <w:rPr>
          <w:rFonts w:hint="eastAsia" w:asciiTheme="minorEastAsia" w:hAnsiTheme="minorEastAsia" w:eastAsiaTheme="minorEastAsia"/>
          <w:color w:val="auto"/>
          <w:sz w:val="30"/>
          <w:szCs w:val="30"/>
        </w:rPr>
        <w:t>因本矿目前处于整合、停产阶段。未进行开采活动。目前，本该矿已建立矿山地质环境治理恢复基金账户，存储基金9.6万元。</w:t>
      </w:r>
    </w:p>
    <w:sectPr>
      <w:pgSz w:w="11910" w:h="16840"/>
      <w:pgMar w:top="1400" w:right="1378" w:bottom="1361" w:left="15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implified Arabic Fixed">
    <w:panose1 w:val="02070309020205020404"/>
    <w:charset w:val="00"/>
    <w:family w:val="auto"/>
    <w:pitch w:val="default"/>
    <w:sig w:usb0="00002003" w:usb1="00000000" w:usb2="00000000" w:usb3="00000000" w:csb0="00000041" w:csb1="20080000"/>
  </w:font>
  <w:font w:name="SimSun-ExtB">
    <w:panose1 w:val="02010609060101010101"/>
    <w:charset w:val="86"/>
    <w:family w:val="auto"/>
    <w:pitch w:val="default"/>
    <w:sig w:usb0="00000001" w:usb1="02000000" w:usb2="00000000" w:usb3="00000000" w:csb0="00040001" w:csb1="00000000"/>
  </w:font>
  <w:font w:name="Simplified Arabic">
    <w:panose1 w:val="02020603050405020304"/>
    <w:charset w:val="00"/>
    <w:family w:val="auto"/>
    <w:pitch w:val="default"/>
    <w:sig w:usb0="00002003" w:usb1="00000000" w:usb2="00000000" w:usb3="00000000" w:csb0="00000041" w:csb1="20080000"/>
  </w:font>
  <w:font w:name="Shadows Into Light">
    <w:panose1 w:val="02000506000000020004"/>
    <w:charset w:val="00"/>
    <w:family w:val="auto"/>
    <w:pitch w:val="default"/>
    <w:sig w:usb0="A00000AF" w:usb1="5000004A" w:usb2="00000000" w:usb3="00000000" w:csb0="20000093" w:csb1="00000000"/>
  </w:font>
  <w:font w:name="MARI&amp;DAVID EXTRABOLD">
    <w:panose1 w:val="00000000000000000000"/>
    <w:charset w:val="00"/>
    <w:family w:val="auto"/>
    <w:pitch w:val="default"/>
    <w:sig w:usb0="80000003"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pPr>
  </w:p>
  <w:p>
    <w:pPr>
      <w:pStyle w:val="9"/>
      <w:pBdr>
        <w:bottom w:val="single" w:color="auto" w:sz="4" w:space="1"/>
      </w:pBdr>
      <w:jc w:val="center"/>
    </w:pPr>
  </w:p>
  <w:p>
    <w:pPr>
      <w:pStyle w:val="9"/>
      <w:pBdr>
        <w:bottom w:val="single" w:color="auto" w:sz="4" w:space="1"/>
      </w:pBdr>
      <w:jc w:val="center"/>
    </w:pPr>
    <w:r>
      <w:rPr>
        <w:rFonts w:hint="eastAsia"/>
      </w:rPr>
      <w:t>内蒙古乌海市万晨能源煤炭有限责任公司龙贵煤矿</w:t>
    </w:r>
    <w:r>
      <w:rPr>
        <w:rFonts w:hint="eastAsia"/>
        <w:lang w:val="en-US"/>
      </w:rPr>
      <w:t>2020</w:t>
    </w:r>
    <w:r>
      <w:rPr>
        <w:rFonts w:hint="eastAsia"/>
      </w:rPr>
      <w:t>年度矿山地质环境治理计划书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E63E9"/>
    <w:multiLevelType w:val="multilevel"/>
    <w:tmpl w:val="931E63E9"/>
    <w:lvl w:ilvl="0" w:tentative="0">
      <w:start w:val="1"/>
      <w:numFmt w:val="decimal"/>
      <w:lvlText w:val="%1"/>
      <w:lvlJc w:val="left"/>
      <w:pPr>
        <w:ind w:left="964" w:hanging="663"/>
      </w:pPr>
      <w:rPr>
        <w:rFonts w:hint="default" w:ascii="Times New Roman" w:hAnsi="Times New Roman" w:cs="Times New Roman"/>
      </w:rPr>
    </w:lvl>
    <w:lvl w:ilvl="1" w:tentative="0">
      <w:start w:val="2"/>
      <w:numFmt w:val="decimal"/>
      <w:lvlText w:val="%1.%2"/>
      <w:lvlJc w:val="left"/>
      <w:pPr>
        <w:ind w:left="964" w:hanging="663"/>
      </w:pPr>
      <w:rPr>
        <w:rFonts w:hint="default" w:ascii="Times New Roman" w:hAnsi="Times New Roman" w:cs="Times New Roman"/>
      </w:rPr>
    </w:lvl>
    <w:lvl w:ilvl="2" w:tentative="0">
      <w:start w:val="1"/>
      <w:numFmt w:val="decimal"/>
      <w:lvlText w:val="%1.%2.%3"/>
      <w:lvlJc w:val="left"/>
      <w:pPr>
        <w:ind w:left="4350" w:hanging="663"/>
      </w:pPr>
      <w:rPr>
        <w:rFonts w:hint="eastAsia" w:ascii="宋体" w:hAnsi="宋体" w:eastAsia="宋体" w:cs="宋体"/>
        <w:b/>
        <w:spacing w:val="0"/>
        <w:sz w:val="24"/>
        <w:szCs w:val="24"/>
      </w:rPr>
    </w:lvl>
    <w:lvl w:ilvl="3" w:tentative="0">
      <w:start w:val="0"/>
      <w:numFmt w:val="bullet"/>
      <w:lvlText w:val="•"/>
      <w:lvlJc w:val="left"/>
      <w:pPr>
        <w:ind w:left="3511" w:hanging="663"/>
      </w:pPr>
      <w:rPr>
        <w:rFonts w:hint="default" w:ascii="Times New Roman" w:hAnsi="Times New Roman" w:cs="Times New Roman"/>
      </w:rPr>
    </w:lvl>
    <w:lvl w:ilvl="4" w:tentative="0">
      <w:start w:val="0"/>
      <w:numFmt w:val="bullet"/>
      <w:lvlText w:val="•"/>
      <w:lvlJc w:val="left"/>
      <w:pPr>
        <w:ind w:left="4362" w:hanging="663"/>
      </w:pPr>
      <w:rPr>
        <w:rFonts w:hint="default" w:ascii="Times New Roman" w:hAnsi="Times New Roman" w:cs="Times New Roman"/>
      </w:rPr>
    </w:lvl>
    <w:lvl w:ilvl="5" w:tentative="0">
      <w:start w:val="0"/>
      <w:numFmt w:val="bullet"/>
      <w:lvlText w:val="•"/>
      <w:lvlJc w:val="left"/>
      <w:pPr>
        <w:ind w:left="5213" w:hanging="663"/>
      </w:pPr>
      <w:rPr>
        <w:rFonts w:hint="default" w:ascii="Times New Roman" w:hAnsi="Times New Roman" w:cs="Times New Roman"/>
      </w:rPr>
    </w:lvl>
    <w:lvl w:ilvl="6" w:tentative="0">
      <w:start w:val="0"/>
      <w:numFmt w:val="bullet"/>
      <w:lvlText w:val="•"/>
      <w:lvlJc w:val="left"/>
      <w:pPr>
        <w:ind w:left="6063" w:hanging="663"/>
      </w:pPr>
      <w:rPr>
        <w:rFonts w:hint="default" w:ascii="Times New Roman" w:hAnsi="Times New Roman" w:cs="Times New Roman"/>
      </w:rPr>
    </w:lvl>
    <w:lvl w:ilvl="7" w:tentative="0">
      <w:start w:val="0"/>
      <w:numFmt w:val="bullet"/>
      <w:lvlText w:val="•"/>
      <w:lvlJc w:val="left"/>
      <w:pPr>
        <w:ind w:left="6914" w:hanging="663"/>
      </w:pPr>
      <w:rPr>
        <w:rFonts w:hint="default" w:ascii="Times New Roman" w:hAnsi="Times New Roman" w:cs="Times New Roman"/>
      </w:rPr>
    </w:lvl>
    <w:lvl w:ilvl="8" w:tentative="0">
      <w:start w:val="0"/>
      <w:numFmt w:val="bullet"/>
      <w:lvlText w:val="•"/>
      <w:lvlJc w:val="left"/>
      <w:pPr>
        <w:ind w:left="7764" w:hanging="663"/>
      </w:pPr>
      <w:rPr>
        <w:rFonts w:hint="default" w:ascii="Times New Roman" w:hAnsi="Times New Roman" w:cs="Times New Roman"/>
      </w:rPr>
    </w:lvl>
  </w:abstractNum>
  <w:abstractNum w:abstractNumId="1">
    <w:nsid w:val="AAD394CA"/>
    <w:multiLevelType w:val="multilevel"/>
    <w:tmpl w:val="AAD394CA"/>
    <w:lvl w:ilvl="0" w:tentative="0">
      <w:start w:val="1"/>
      <w:numFmt w:val="decimal"/>
      <w:lvlText w:val="%1."/>
      <w:lvlJc w:val="left"/>
      <w:pPr>
        <w:ind w:left="430" w:hanging="317"/>
      </w:pPr>
      <w:rPr>
        <w:rFonts w:hint="eastAsia" w:ascii="宋体" w:hAnsi="宋体" w:eastAsia="宋体" w:cs="宋体"/>
        <w:spacing w:val="1"/>
        <w:sz w:val="19"/>
        <w:szCs w:val="19"/>
      </w:rPr>
    </w:lvl>
    <w:lvl w:ilvl="1" w:tentative="0">
      <w:start w:val="0"/>
      <w:numFmt w:val="bullet"/>
      <w:lvlText w:val="•"/>
      <w:lvlJc w:val="left"/>
      <w:pPr>
        <w:ind w:left="1022" w:hanging="317"/>
      </w:pPr>
      <w:rPr>
        <w:rFonts w:hint="default" w:ascii="Times New Roman" w:hAnsi="Times New Roman" w:cs="Times New Roman"/>
      </w:rPr>
    </w:lvl>
    <w:lvl w:ilvl="2" w:tentative="0">
      <w:start w:val="0"/>
      <w:numFmt w:val="bullet"/>
      <w:lvlText w:val="•"/>
      <w:lvlJc w:val="left"/>
      <w:pPr>
        <w:ind w:left="1604" w:hanging="317"/>
      </w:pPr>
      <w:rPr>
        <w:rFonts w:hint="default" w:ascii="Times New Roman" w:hAnsi="Times New Roman" w:cs="Times New Roman"/>
      </w:rPr>
    </w:lvl>
    <w:lvl w:ilvl="3" w:tentative="0">
      <w:start w:val="0"/>
      <w:numFmt w:val="bullet"/>
      <w:lvlText w:val="•"/>
      <w:lvlJc w:val="left"/>
      <w:pPr>
        <w:ind w:left="2186" w:hanging="317"/>
      </w:pPr>
      <w:rPr>
        <w:rFonts w:hint="default" w:ascii="Times New Roman" w:hAnsi="Times New Roman" w:cs="Times New Roman"/>
      </w:rPr>
    </w:lvl>
    <w:lvl w:ilvl="4" w:tentative="0">
      <w:start w:val="0"/>
      <w:numFmt w:val="bullet"/>
      <w:lvlText w:val="•"/>
      <w:lvlJc w:val="left"/>
      <w:pPr>
        <w:ind w:left="2768" w:hanging="317"/>
      </w:pPr>
      <w:rPr>
        <w:rFonts w:hint="default" w:ascii="Times New Roman" w:hAnsi="Times New Roman" w:cs="Times New Roman"/>
      </w:rPr>
    </w:lvl>
    <w:lvl w:ilvl="5" w:tentative="0">
      <w:start w:val="0"/>
      <w:numFmt w:val="bullet"/>
      <w:lvlText w:val="•"/>
      <w:lvlJc w:val="left"/>
      <w:pPr>
        <w:ind w:left="3350" w:hanging="317"/>
      </w:pPr>
      <w:rPr>
        <w:rFonts w:hint="default" w:ascii="Times New Roman" w:hAnsi="Times New Roman" w:cs="Times New Roman"/>
      </w:rPr>
    </w:lvl>
    <w:lvl w:ilvl="6" w:tentative="0">
      <w:start w:val="0"/>
      <w:numFmt w:val="bullet"/>
      <w:lvlText w:val="•"/>
      <w:lvlJc w:val="left"/>
      <w:pPr>
        <w:ind w:left="3932" w:hanging="317"/>
      </w:pPr>
      <w:rPr>
        <w:rFonts w:hint="default" w:ascii="Times New Roman" w:hAnsi="Times New Roman" w:cs="Times New Roman"/>
      </w:rPr>
    </w:lvl>
    <w:lvl w:ilvl="7" w:tentative="0">
      <w:start w:val="0"/>
      <w:numFmt w:val="bullet"/>
      <w:lvlText w:val="•"/>
      <w:lvlJc w:val="left"/>
      <w:pPr>
        <w:ind w:left="4514" w:hanging="317"/>
      </w:pPr>
      <w:rPr>
        <w:rFonts w:hint="default" w:ascii="Times New Roman" w:hAnsi="Times New Roman" w:cs="Times New Roman"/>
      </w:rPr>
    </w:lvl>
    <w:lvl w:ilvl="8" w:tentative="0">
      <w:start w:val="0"/>
      <w:numFmt w:val="bullet"/>
      <w:lvlText w:val="•"/>
      <w:lvlJc w:val="left"/>
      <w:pPr>
        <w:ind w:left="5096" w:hanging="317"/>
      </w:pPr>
      <w:rPr>
        <w:rFonts w:hint="default" w:ascii="Times New Roman" w:hAnsi="Times New Roman" w:cs="Times New Roman"/>
      </w:rPr>
    </w:lvl>
  </w:abstractNum>
  <w:abstractNum w:abstractNumId="2">
    <w:nsid w:val="ADCCE544"/>
    <w:multiLevelType w:val="multilevel"/>
    <w:tmpl w:val="ADCCE544"/>
    <w:lvl w:ilvl="0" w:tentative="0">
      <w:start w:val="1"/>
      <w:numFmt w:val="decimal"/>
      <w:lvlText w:val="%1"/>
      <w:lvlJc w:val="left"/>
      <w:pPr>
        <w:ind w:left="781" w:hanging="663"/>
      </w:pPr>
      <w:rPr>
        <w:rFonts w:hint="default" w:ascii="Times New Roman" w:hAnsi="Times New Roman" w:cs="Times New Roman"/>
      </w:rPr>
    </w:lvl>
    <w:lvl w:ilvl="1" w:tentative="0">
      <w:start w:val="4"/>
      <w:numFmt w:val="decimal"/>
      <w:lvlText w:val="%1.%2"/>
      <w:lvlJc w:val="left"/>
      <w:pPr>
        <w:ind w:left="781" w:hanging="663"/>
      </w:pPr>
      <w:rPr>
        <w:rFonts w:hint="default" w:ascii="Times New Roman" w:hAnsi="Times New Roman" w:cs="Times New Roman"/>
      </w:rPr>
    </w:lvl>
    <w:lvl w:ilvl="2" w:tentative="0">
      <w:start w:val="1"/>
      <w:numFmt w:val="decimal"/>
      <w:lvlText w:val="%1.%2.%3"/>
      <w:lvlJc w:val="left"/>
      <w:pPr>
        <w:ind w:left="781" w:hanging="663"/>
      </w:pPr>
      <w:rPr>
        <w:rFonts w:hint="eastAsia" w:ascii="宋体" w:hAnsi="宋体" w:eastAsia="宋体" w:cs="宋体"/>
        <w:b/>
        <w:spacing w:val="0"/>
        <w:sz w:val="24"/>
        <w:szCs w:val="24"/>
      </w:rPr>
    </w:lvl>
    <w:lvl w:ilvl="3" w:tentative="0">
      <w:start w:val="0"/>
      <w:numFmt w:val="bullet"/>
      <w:lvlText w:val="•"/>
      <w:lvlJc w:val="left"/>
      <w:pPr>
        <w:ind w:left="3385" w:hanging="663"/>
      </w:pPr>
      <w:rPr>
        <w:rFonts w:hint="default" w:ascii="Times New Roman" w:hAnsi="Times New Roman" w:cs="Times New Roman"/>
      </w:rPr>
    </w:lvl>
    <w:lvl w:ilvl="4" w:tentative="0">
      <w:start w:val="0"/>
      <w:numFmt w:val="bullet"/>
      <w:lvlText w:val="•"/>
      <w:lvlJc w:val="left"/>
      <w:pPr>
        <w:ind w:left="4254" w:hanging="663"/>
      </w:pPr>
      <w:rPr>
        <w:rFonts w:hint="default" w:ascii="Times New Roman" w:hAnsi="Times New Roman" w:cs="Times New Roman"/>
      </w:rPr>
    </w:lvl>
    <w:lvl w:ilvl="5" w:tentative="0">
      <w:start w:val="0"/>
      <w:numFmt w:val="bullet"/>
      <w:lvlText w:val="•"/>
      <w:lvlJc w:val="left"/>
      <w:pPr>
        <w:ind w:left="5123" w:hanging="663"/>
      </w:pPr>
      <w:rPr>
        <w:rFonts w:hint="default" w:ascii="Times New Roman" w:hAnsi="Times New Roman" w:cs="Times New Roman"/>
      </w:rPr>
    </w:lvl>
    <w:lvl w:ilvl="6" w:tentative="0">
      <w:start w:val="0"/>
      <w:numFmt w:val="bullet"/>
      <w:lvlText w:val="•"/>
      <w:lvlJc w:val="left"/>
      <w:pPr>
        <w:ind w:left="5991" w:hanging="663"/>
      </w:pPr>
      <w:rPr>
        <w:rFonts w:hint="default" w:ascii="Times New Roman" w:hAnsi="Times New Roman" w:cs="Times New Roman"/>
      </w:rPr>
    </w:lvl>
    <w:lvl w:ilvl="7" w:tentative="0">
      <w:start w:val="0"/>
      <w:numFmt w:val="bullet"/>
      <w:lvlText w:val="•"/>
      <w:lvlJc w:val="left"/>
      <w:pPr>
        <w:ind w:left="6860" w:hanging="663"/>
      </w:pPr>
      <w:rPr>
        <w:rFonts w:hint="default" w:ascii="Times New Roman" w:hAnsi="Times New Roman" w:cs="Times New Roman"/>
      </w:rPr>
    </w:lvl>
    <w:lvl w:ilvl="8" w:tentative="0">
      <w:start w:val="0"/>
      <w:numFmt w:val="bullet"/>
      <w:lvlText w:val="•"/>
      <w:lvlJc w:val="left"/>
      <w:pPr>
        <w:ind w:left="7728" w:hanging="663"/>
      </w:pPr>
      <w:rPr>
        <w:rFonts w:hint="default" w:ascii="Times New Roman" w:hAnsi="Times New Roman" w:cs="Times New Roman"/>
      </w:rPr>
    </w:lvl>
  </w:abstractNum>
  <w:abstractNum w:abstractNumId="3">
    <w:nsid w:val="C7D6C75D"/>
    <w:multiLevelType w:val="multilevel"/>
    <w:tmpl w:val="C7D6C75D"/>
    <w:lvl w:ilvl="0" w:tentative="0">
      <w:start w:val="1"/>
      <w:numFmt w:val="decimal"/>
      <w:lvlText w:val="%1"/>
      <w:lvlJc w:val="left"/>
      <w:pPr>
        <w:ind w:left="964" w:hanging="663"/>
      </w:pPr>
      <w:rPr>
        <w:rFonts w:hint="default" w:ascii="Times New Roman" w:hAnsi="Times New Roman" w:cs="Times New Roman"/>
      </w:rPr>
    </w:lvl>
    <w:lvl w:ilvl="1" w:tentative="0">
      <w:start w:val="3"/>
      <w:numFmt w:val="decimal"/>
      <w:lvlText w:val="%1.%2"/>
      <w:lvlJc w:val="left"/>
      <w:pPr>
        <w:ind w:left="964" w:hanging="663"/>
      </w:pPr>
      <w:rPr>
        <w:rFonts w:hint="default" w:ascii="Times New Roman" w:hAnsi="Times New Roman" w:cs="Times New Roman"/>
      </w:rPr>
    </w:lvl>
    <w:lvl w:ilvl="2" w:tentative="0">
      <w:start w:val="1"/>
      <w:numFmt w:val="decimal"/>
      <w:lvlText w:val="%1.%2.%3"/>
      <w:lvlJc w:val="left"/>
      <w:pPr>
        <w:ind w:left="964" w:hanging="663"/>
      </w:pPr>
      <w:rPr>
        <w:rFonts w:hint="eastAsia" w:ascii="宋体" w:hAnsi="宋体" w:eastAsia="宋体" w:cs="宋体"/>
        <w:b/>
        <w:spacing w:val="0"/>
        <w:sz w:val="24"/>
        <w:szCs w:val="24"/>
      </w:rPr>
    </w:lvl>
    <w:lvl w:ilvl="3" w:tentative="0">
      <w:start w:val="0"/>
      <w:numFmt w:val="bullet"/>
      <w:lvlText w:val="•"/>
      <w:lvlJc w:val="left"/>
      <w:pPr>
        <w:ind w:left="3511" w:hanging="663"/>
      </w:pPr>
      <w:rPr>
        <w:rFonts w:hint="default" w:ascii="Times New Roman" w:hAnsi="Times New Roman" w:cs="Times New Roman"/>
      </w:rPr>
    </w:lvl>
    <w:lvl w:ilvl="4" w:tentative="0">
      <w:start w:val="0"/>
      <w:numFmt w:val="bullet"/>
      <w:lvlText w:val="•"/>
      <w:lvlJc w:val="left"/>
      <w:pPr>
        <w:ind w:left="4362" w:hanging="663"/>
      </w:pPr>
      <w:rPr>
        <w:rFonts w:hint="default" w:ascii="Times New Roman" w:hAnsi="Times New Roman" w:cs="Times New Roman"/>
      </w:rPr>
    </w:lvl>
    <w:lvl w:ilvl="5" w:tentative="0">
      <w:start w:val="0"/>
      <w:numFmt w:val="bullet"/>
      <w:lvlText w:val="•"/>
      <w:lvlJc w:val="left"/>
      <w:pPr>
        <w:ind w:left="5213" w:hanging="663"/>
      </w:pPr>
      <w:rPr>
        <w:rFonts w:hint="default" w:ascii="Times New Roman" w:hAnsi="Times New Roman" w:cs="Times New Roman"/>
      </w:rPr>
    </w:lvl>
    <w:lvl w:ilvl="6" w:tentative="0">
      <w:start w:val="0"/>
      <w:numFmt w:val="bullet"/>
      <w:lvlText w:val="•"/>
      <w:lvlJc w:val="left"/>
      <w:pPr>
        <w:ind w:left="6063" w:hanging="663"/>
      </w:pPr>
      <w:rPr>
        <w:rFonts w:hint="default" w:ascii="Times New Roman" w:hAnsi="Times New Roman" w:cs="Times New Roman"/>
      </w:rPr>
    </w:lvl>
    <w:lvl w:ilvl="7" w:tentative="0">
      <w:start w:val="0"/>
      <w:numFmt w:val="bullet"/>
      <w:lvlText w:val="•"/>
      <w:lvlJc w:val="left"/>
      <w:pPr>
        <w:ind w:left="6914" w:hanging="663"/>
      </w:pPr>
      <w:rPr>
        <w:rFonts w:hint="default" w:ascii="Times New Roman" w:hAnsi="Times New Roman" w:cs="Times New Roman"/>
      </w:rPr>
    </w:lvl>
    <w:lvl w:ilvl="8" w:tentative="0">
      <w:start w:val="0"/>
      <w:numFmt w:val="bullet"/>
      <w:lvlText w:val="•"/>
      <w:lvlJc w:val="left"/>
      <w:pPr>
        <w:ind w:left="7764" w:hanging="663"/>
      </w:pPr>
      <w:rPr>
        <w:rFonts w:hint="default" w:ascii="Times New Roman" w:hAnsi="Times New Roman" w:cs="Times New Roman"/>
      </w:rPr>
    </w:lvl>
  </w:abstractNum>
  <w:abstractNum w:abstractNumId="4">
    <w:nsid w:val="E4899A24"/>
    <w:multiLevelType w:val="multilevel"/>
    <w:tmpl w:val="E4899A24"/>
    <w:lvl w:ilvl="0" w:tentative="0">
      <w:start w:val="2"/>
      <w:numFmt w:val="decimal"/>
      <w:lvlText w:val="%1"/>
      <w:lvlJc w:val="left"/>
      <w:pPr>
        <w:ind w:left="964" w:hanging="663"/>
      </w:pPr>
      <w:rPr>
        <w:rFonts w:hint="default" w:ascii="Times New Roman" w:hAnsi="Times New Roman" w:cs="Times New Roman"/>
      </w:rPr>
    </w:lvl>
    <w:lvl w:ilvl="1" w:tentative="0">
      <w:start w:val="2"/>
      <w:numFmt w:val="decimal"/>
      <w:lvlText w:val="%1.%2"/>
      <w:lvlJc w:val="left"/>
      <w:pPr>
        <w:ind w:left="964" w:hanging="663"/>
      </w:pPr>
      <w:rPr>
        <w:rFonts w:hint="default" w:ascii="Times New Roman" w:hAnsi="Times New Roman" w:cs="Times New Roman"/>
      </w:rPr>
    </w:lvl>
    <w:lvl w:ilvl="2" w:tentative="0">
      <w:start w:val="1"/>
      <w:numFmt w:val="decimal"/>
      <w:lvlText w:val="%1.%2.%3"/>
      <w:lvlJc w:val="left"/>
      <w:pPr>
        <w:ind w:left="964" w:hanging="663"/>
      </w:pPr>
      <w:rPr>
        <w:rFonts w:hint="eastAsia" w:ascii="宋体" w:hAnsi="宋体" w:eastAsia="宋体" w:cs="宋体"/>
        <w:b/>
        <w:spacing w:val="0"/>
        <w:sz w:val="24"/>
        <w:szCs w:val="24"/>
      </w:rPr>
    </w:lvl>
    <w:lvl w:ilvl="3" w:tentative="0">
      <w:start w:val="0"/>
      <w:numFmt w:val="bullet"/>
      <w:lvlText w:val="•"/>
      <w:lvlJc w:val="left"/>
      <w:pPr>
        <w:ind w:left="3511" w:hanging="663"/>
      </w:pPr>
      <w:rPr>
        <w:rFonts w:hint="default" w:ascii="Times New Roman" w:hAnsi="Times New Roman" w:cs="Times New Roman"/>
      </w:rPr>
    </w:lvl>
    <w:lvl w:ilvl="4" w:tentative="0">
      <w:start w:val="0"/>
      <w:numFmt w:val="bullet"/>
      <w:lvlText w:val="•"/>
      <w:lvlJc w:val="left"/>
      <w:pPr>
        <w:ind w:left="4362" w:hanging="663"/>
      </w:pPr>
      <w:rPr>
        <w:rFonts w:hint="default" w:ascii="Times New Roman" w:hAnsi="Times New Roman" w:cs="Times New Roman"/>
      </w:rPr>
    </w:lvl>
    <w:lvl w:ilvl="5" w:tentative="0">
      <w:start w:val="0"/>
      <w:numFmt w:val="bullet"/>
      <w:lvlText w:val="•"/>
      <w:lvlJc w:val="left"/>
      <w:pPr>
        <w:ind w:left="5213" w:hanging="663"/>
      </w:pPr>
      <w:rPr>
        <w:rFonts w:hint="default" w:ascii="Times New Roman" w:hAnsi="Times New Roman" w:cs="Times New Roman"/>
      </w:rPr>
    </w:lvl>
    <w:lvl w:ilvl="6" w:tentative="0">
      <w:start w:val="0"/>
      <w:numFmt w:val="bullet"/>
      <w:lvlText w:val="•"/>
      <w:lvlJc w:val="left"/>
      <w:pPr>
        <w:ind w:left="6063" w:hanging="663"/>
      </w:pPr>
      <w:rPr>
        <w:rFonts w:hint="default" w:ascii="Times New Roman" w:hAnsi="Times New Roman" w:cs="Times New Roman"/>
      </w:rPr>
    </w:lvl>
    <w:lvl w:ilvl="7" w:tentative="0">
      <w:start w:val="0"/>
      <w:numFmt w:val="bullet"/>
      <w:lvlText w:val="•"/>
      <w:lvlJc w:val="left"/>
      <w:pPr>
        <w:ind w:left="6914" w:hanging="663"/>
      </w:pPr>
      <w:rPr>
        <w:rFonts w:hint="default" w:ascii="Times New Roman" w:hAnsi="Times New Roman" w:cs="Times New Roman"/>
      </w:rPr>
    </w:lvl>
    <w:lvl w:ilvl="8" w:tentative="0">
      <w:start w:val="0"/>
      <w:numFmt w:val="bullet"/>
      <w:lvlText w:val="•"/>
      <w:lvlJc w:val="left"/>
      <w:pPr>
        <w:ind w:left="7764" w:hanging="663"/>
      </w:pPr>
      <w:rPr>
        <w:rFonts w:hint="default" w:ascii="Times New Roman" w:hAnsi="Times New Roman" w:cs="Times New Roman"/>
      </w:rPr>
    </w:lvl>
  </w:abstractNum>
  <w:abstractNum w:abstractNumId="5">
    <w:nsid w:val="0939B00F"/>
    <w:multiLevelType w:val="multilevel"/>
    <w:tmpl w:val="0939B00F"/>
    <w:lvl w:ilvl="0" w:tentative="0">
      <w:start w:val="3"/>
      <w:numFmt w:val="decimal"/>
      <w:lvlText w:val="%1"/>
      <w:lvlJc w:val="left"/>
      <w:pPr>
        <w:ind w:left="964" w:hanging="663"/>
      </w:pPr>
      <w:rPr>
        <w:rFonts w:hint="default" w:ascii="Times New Roman" w:hAnsi="Times New Roman" w:cs="Times New Roman"/>
      </w:rPr>
    </w:lvl>
    <w:lvl w:ilvl="1" w:tentative="0">
      <w:start w:val="2"/>
      <w:numFmt w:val="decimal"/>
      <w:lvlText w:val="%1.%2"/>
      <w:lvlJc w:val="left"/>
      <w:pPr>
        <w:ind w:left="964" w:hanging="663"/>
      </w:pPr>
      <w:rPr>
        <w:rFonts w:hint="default" w:ascii="Times New Roman" w:hAnsi="Times New Roman" w:cs="Times New Roman"/>
      </w:rPr>
    </w:lvl>
    <w:lvl w:ilvl="2" w:tentative="0">
      <w:start w:val="1"/>
      <w:numFmt w:val="decimal"/>
      <w:lvlText w:val="%1.%2.%3"/>
      <w:lvlJc w:val="left"/>
      <w:pPr>
        <w:ind w:left="964" w:hanging="663"/>
      </w:pPr>
      <w:rPr>
        <w:rFonts w:hint="eastAsia" w:ascii="宋体" w:hAnsi="宋体" w:eastAsia="宋体" w:cs="宋体"/>
        <w:b/>
        <w:spacing w:val="0"/>
        <w:sz w:val="24"/>
        <w:szCs w:val="24"/>
      </w:rPr>
    </w:lvl>
    <w:lvl w:ilvl="3" w:tentative="0">
      <w:start w:val="0"/>
      <w:numFmt w:val="bullet"/>
      <w:lvlText w:val="•"/>
      <w:lvlJc w:val="left"/>
      <w:pPr>
        <w:ind w:left="3511" w:hanging="663"/>
      </w:pPr>
      <w:rPr>
        <w:rFonts w:hint="default" w:ascii="Times New Roman" w:hAnsi="Times New Roman" w:cs="Times New Roman"/>
      </w:rPr>
    </w:lvl>
    <w:lvl w:ilvl="4" w:tentative="0">
      <w:start w:val="0"/>
      <w:numFmt w:val="bullet"/>
      <w:lvlText w:val="•"/>
      <w:lvlJc w:val="left"/>
      <w:pPr>
        <w:ind w:left="4362" w:hanging="663"/>
      </w:pPr>
      <w:rPr>
        <w:rFonts w:hint="default" w:ascii="Times New Roman" w:hAnsi="Times New Roman" w:cs="Times New Roman"/>
      </w:rPr>
    </w:lvl>
    <w:lvl w:ilvl="5" w:tentative="0">
      <w:start w:val="0"/>
      <w:numFmt w:val="bullet"/>
      <w:lvlText w:val="•"/>
      <w:lvlJc w:val="left"/>
      <w:pPr>
        <w:ind w:left="5213" w:hanging="663"/>
      </w:pPr>
      <w:rPr>
        <w:rFonts w:hint="default" w:ascii="Times New Roman" w:hAnsi="Times New Roman" w:cs="Times New Roman"/>
      </w:rPr>
    </w:lvl>
    <w:lvl w:ilvl="6" w:tentative="0">
      <w:start w:val="0"/>
      <w:numFmt w:val="bullet"/>
      <w:lvlText w:val="•"/>
      <w:lvlJc w:val="left"/>
      <w:pPr>
        <w:ind w:left="6063" w:hanging="663"/>
      </w:pPr>
      <w:rPr>
        <w:rFonts w:hint="default" w:ascii="Times New Roman" w:hAnsi="Times New Roman" w:cs="Times New Roman"/>
      </w:rPr>
    </w:lvl>
    <w:lvl w:ilvl="7" w:tentative="0">
      <w:start w:val="0"/>
      <w:numFmt w:val="bullet"/>
      <w:lvlText w:val="•"/>
      <w:lvlJc w:val="left"/>
      <w:pPr>
        <w:ind w:left="6914" w:hanging="663"/>
      </w:pPr>
      <w:rPr>
        <w:rFonts w:hint="default" w:ascii="Times New Roman" w:hAnsi="Times New Roman" w:cs="Times New Roman"/>
      </w:rPr>
    </w:lvl>
    <w:lvl w:ilvl="8" w:tentative="0">
      <w:start w:val="0"/>
      <w:numFmt w:val="bullet"/>
      <w:lvlText w:val="•"/>
      <w:lvlJc w:val="left"/>
      <w:pPr>
        <w:ind w:left="7764" w:hanging="663"/>
      </w:pPr>
      <w:rPr>
        <w:rFonts w:hint="default" w:ascii="Times New Roman" w:hAnsi="Times New Roman" w:cs="Times New Roman"/>
      </w:rPr>
    </w:lvl>
  </w:abstractNum>
  <w:abstractNum w:abstractNumId="6">
    <w:nsid w:val="0B5570EF"/>
    <w:multiLevelType w:val="multilevel"/>
    <w:tmpl w:val="0B5570EF"/>
    <w:lvl w:ilvl="0" w:tentative="0">
      <w:start w:val="3"/>
      <w:numFmt w:val="decimal"/>
      <w:lvlText w:val="%1"/>
      <w:lvlJc w:val="left"/>
      <w:pPr>
        <w:ind w:left="904" w:hanging="663"/>
      </w:pPr>
      <w:rPr>
        <w:rFonts w:hint="default" w:ascii="Times New Roman" w:hAnsi="Times New Roman" w:cs="Times New Roman"/>
      </w:rPr>
    </w:lvl>
    <w:lvl w:ilvl="1" w:tentative="0">
      <w:start w:val="3"/>
      <w:numFmt w:val="decimal"/>
      <w:lvlText w:val="%1.%2"/>
      <w:lvlJc w:val="left"/>
      <w:pPr>
        <w:ind w:left="904" w:hanging="663"/>
      </w:pPr>
      <w:rPr>
        <w:rFonts w:hint="default" w:ascii="Times New Roman" w:hAnsi="Times New Roman" w:cs="Times New Roman"/>
      </w:rPr>
    </w:lvl>
    <w:lvl w:ilvl="2" w:tentative="0">
      <w:start w:val="1"/>
      <w:numFmt w:val="decimal"/>
      <w:lvlText w:val="%1.%2.%3"/>
      <w:lvlJc w:val="left"/>
      <w:pPr>
        <w:ind w:left="904" w:hanging="663"/>
      </w:pPr>
      <w:rPr>
        <w:rFonts w:hint="eastAsia" w:ascii="宋体" w:hAnsi="宋体" w:eastAsia="宋体" w:cs="宋体"/>
        <w:b/>
        <w:spacing w:val="0"/>
        <w:sz w:val="24"/>
        <w:szCs w:val="24"/>
      </w:rPr>
    </w:lvl>
    <w:lvl w:ilvl="3" w:tentative="0">
      <w:start w:val="1"/>
      <w:numFmt w:val="decimal"/>
      <w:lvlText w:val="%4."/>
      <w:lvlJc w:val="left"/>
      <w:pPr>
        <w:ind w:left="1082" w:hanging="361"/>
      </w:pPr>
      <w:rPr>
        <w:rFonts w:hint="default" w:ascii="Times New Roman" w:hAnsi="Times New Roman" w:cs="Times New Roman"/>
        <w:spacing w:val="-60"/>
        <w:sz w:val="22"/>
        <w:szCs w:val="22"/>
      </w:rPr>
    </w:lvl>
    <w:lvl w:ilvl="4" w:tentative="0">
      <w:start w:val="0"/>
      <w:numFmt w:val="bullet"/>
      <w:lvlText w:val="•"/>
      <w:lvlJc w:val="left"/>
      <w:pPr>
        <w:ind w:left="3808" w:hanging="361"/>
      </w:pPr>
      <w:rPr>
        <w:rFonts w:hint="default" w:ascii="Times New Roman" w:hAnsi="Times New Roman" w:cs="Times New Roman"/>
      </w:rPr>
    </w:lvl>
    <w:lvl w:ilvl="5" w:tentative="0">
      <w:start w:val="0"/>
      <w:numFmt w:val="bullet"/>
      <w:lvlText w:val="•"/>
      <w:lvlJc w:val="left"/>
      <w:pPr>
        <w:ind w:left="4718" w:hanging="361"/>
      </w:pPr>
      <w:rPr>
        <w:rFonts w:hint="default" w:ascii="Times New Roman" w:hAnsi="Times New Roman" w:cs="Times New Roman"/>
      </w:rPr>
    </w:lvl>
    <w:lvl w:ilvl="6" w:tentative="0">
      <w:start w:val="0"/>
      <w:numFmt w:val="bullet"/>
      <w:lvlText w:val="•"/>
      <w:lvlJc w:val="left"/>
      <w:pPr>
        <w:ind w:left="5627" w:hanging="361"/>
      </w:pPr>
      <w:rPr>
        <w:rFonts w:hint="default" w:ascii="Times New Roman" w:hAnsi="Times New Roman" w:cs="Times New Roman"/>
      </w:rPr>
    </w:lvl>
    <w:lvl w:ilvl="7" w:tentative="0">
      <w:start w:val="0"/>
      <w:numFmt w:val="bullet"/>
      <w:lvlText w:val="•"/>
      <w:lvlJc w:val="left"/>
      <w:pPr>
        <w:ind w:left="6537" w:hanging="361"/>
      </w:pPr>
      <w:rPr>
        <w:rFonts w:hint="default" w:ascii="Times New Roman" w:hAnsi="Times New Roman" w:cs="Times New Roman"/>
      </w:rPr>
    </w:lvl>
    <w:lvl w:ilvl="8" w:tentative="0">
      <w:start w:val="0"/>
      <w:numFmt w:val="bullet"/>
      <w:lvlText w:val="•"/>
      <w:lvlJc w:val="left"/>
      <w:pPr>
        <w:ind w:left="7446" w:hanging="361"/>
      </w:pPr>
      <w:rPr>
        <w:rFonts w:hint="default" w:ascii="Times New Roman" w:hAnsi="Times New Roman" w:cs="Times New Roman"/>
      </w:rPr>
    </w:lvl>
  </w:abstractNum>
  <w:abstractNum w:abstractNumId="7">
    <w:nsid w:val="360E3DCB"/>
    <w:multiLevelType w:val="multilevel"/>
    <w:tmpl w:val="360E3DCB"/>
    <w:lvl w:ilvl="0" w:tentative="0">
      <w:start w:val="1"/>
      <w:numFmt w:val="decimal"/>
      <w:lvlText w:val="%1."/>
      <w:lvlJc w:val="left"/>
      <w:pPr>
        <w:ind w:left="430" w:hanging="317"/>
      </w:pPr>
      <w:rPr>
        <w:rFonts w:hint="default" w:ascii="Times New Roman" w:hAnsi="Times New Roman" w:cs="Times New Roman"/>
        <w:spacing w:val="1"/>
      </w:rPr>
    </w:lvl>
    <w:lvl w:ilvl="1" w:tentative="0">
      <w:start w:val="0"/>
      <w:numFmt w:val="bullet"/>
      <w:lvlText w:val="•"/>
      <w:lvlJc w:val="left"/>
      <w:pPr>
        <w:ind w:left="1022" w:hanging="317"/>
      </w:pPr>
      <w:rPr>
        <w:rFonts w:hint="default" w:ascii="Times New Roman" w:hAnsi="Times New Roman" w:cs="Times New Roman"/>
      </w:rPr>
    </w:lvl>
    <w:lvl w:ilvl="2" w:tentative="0">
      <w:start w:val="0"/>
      <w:numFmt w:val="bullet"/>
      <w:lvlText w:val="•"/>
      <w:lvlJc w:val="left"/>
      <w:pPr>
        <w:ind w:left="1604" w:hanging="317"/>
      </w:pPr>
      <w:rPr>
        <w:rFonts w:hint="default" w:ascii="Times New Roman" w:hAnsi="Times New Roman" w:cs="Times New Roman"/>
      </w:rPr>
    </w:lvl>
    <w:lvl w:ilvl="3" w:tentative="0">
      <w:start w:val="0"/>
      <w:numFmt w:val="bullet"/>
      <w:lvlText w:val="•"/>
      <w:lvlJc w:val="left"/>
      <w:pPr>
        <w:ind w:left="2186" w:hanging="317"/>
      </w:pPr>
      <w:rPr>
        <w:rFonts w:hint="default" w:ascii="Times New Roman" w:hAnsi="Times New Roman" w:cs="Times New Roman"/>
      </w:rPr>
    </w:lvl>
    <w:lvl w:ilvl="4" w:tentative="0">
      <w:start w:val="0"/>
      <w:numFmt w:val="bullet"/>
      <w:lvlText w:val="•"/>
      <w:lvlJc w:val="left"/>
      <w:pPr>
        <w:ind w:left="2768" w:hanging="317"/>
      </w:pPr>
      <w:rPr>
        <w:rFonts w:hint="default" w:ascii="Times New Roman" w:hAnsi="Times New Roman" w:cs="Times New Roman"/>
      </w:rPr>
    </w:lvl>
    <w:lvl w:ilvl="5" w:tentative="0">
      <w:start w:val="0"/>
      <w:numFmt w:val="bullet"/>
      <w:lvlText w:val="•"/>
      <w:lvlJc w:val="left"/>
      <w:pPr>
        <w:ind w:left="3350" w:hanging="317"/>
      </w:pPr>
      <w:rPr>
        <w:rFonts w:hint="default" w:ascii="Times New Roman" w:hAnsi="Times New Roman" w:cs="Times New Roman"/>
      </w:rPr>
    </w:lvl>
    <w:lvl w:ilvl="6" w:tentative="0">
      <w:start w:val="0"/>
      <w:numFmt w:val="bullet"/>
      <w:lvlText w:val="•"/>
      <w:lvlJc w:val="left"/>
      <w:pPr>
        <w:ind w:left="3932" w:hanging="317"/>
      </w:pPr>
      <w:rPr>
        <w:rFonts w:hint="default" w:ascii="Times New Roman" w:hAnsi="Times New Roman" w:cs="Times New Roman"/>
      </w:rPr>
    </w:lvl>
    <w:lvl w:ilvl="7" w:tentative="0">
      <w:start w:val="0"/>
      <w:numFmt w:val="bullet"/>
      <w:lvlText w:val="•"/>
      <w:lvlJc w:val="left"/>
      <w:pPr>
        <w:ind w:left="4514" w:hanging="317"/>
      </w:pPr>
      <w:rPr>
        <w:rFonts w:hint="default" w:ascii="Times New Roman" w:hAnsi="Times New Roman" w:cs="Times New Roman"/>
      </w:rPr>
    </w:lvl>
    <w:lvl w:ilvl="8" w:tentative="0">
      <w:start w:val="0"/>
      <w:numFmt w:val="bullet"/>
      <w:lvlText w:val="•"/>
      <w:lvlJc w:val="left"/>
      <w:pPr>
        <w:ind w:left="5096" w:hanging="317"/>
      </w:pPr>
      <w:rPr>
        <w:rFonts w:hint="default" w:ascii="Times New Roman" w:hAnsi="Times New Roman" w:cs="Times New Roman"/>
      </w:rPr>
    </w:lvl>
  </w:abstractNum>
  <w:abstractNum w:abstractNumId="8">
    <w:nsid w:val="3FA9F42D"/>
    <w:multiLevelType w:val="multilevel"/>
    <w:tmpl w:val="3FA9F42D"/>
    <w:lvl w:ilvl="0" w:tentative="0">
      <w:start w:val="1"/>
      <w:numFmt w:val="decimal"/>
      <w:lvlText w:val="%1"/>
      <w:lvlJc w:val="left"/>
      <w:pPr>
        <w:ind w:left="964" w:hanging="663"/>
      </w:pPr>
      <w:rPr>
        <w:rFonts w:hint="default" w:ascii="Times New Roman" w:hAnsi="Times New Roman" w:cs="Times New Roman"/>
      </w:rPr>
    </w:lvl>
    <w:lvl w:ilvl="1" w:tentative="0">
      <w:start w:val="1"/>
      <w:numFmt w:val="decimal"/>
      <w:lvlText w:val="%1.%2"/>
      <w:lvlJc w:val="left"/>
      <w:pPr>
        <w:ind w:left="964" w:hanging="663"/>
      </w:pPr>
      <w:rPr>
        <w:rFonts w:hint="default" w:ascii="Times New Roman" w:hAnsi="Times New Roman" w:cs="Times New Roman"/>
      </w:rPr>
    </w:lvl>
    <w:lvl w:ilvl="2" w:tentative="0">
      <w:start w:val="1"/>
      <w:numFmt w:val="decimal"/>
      <w:lvlText w:val="%1.%2.%3"/>
      <w:lvlJc w:val="left"/>
      <w:pPr>
        <w:ind w:left="964" w:hanging="663"/>
      </w:pPr>
      <w:rPr>
        <w:rFonts w:hint="default" w:ascii="Times New Roman" w:hAnsi="Times New Roman" w:cs="Times New Roman"/>
        <w:b/>
        <w:spacing w:val="0"/>
      </w:rPr>
    </w:lvl>
    <w:lvl w:ilvl="3" w:tentative="0">
      <w:start w:val="0"/>
      <w:numFmt w:val="bullet"/>
      <w:lvlText w:val="•"/>
      <w:lvlJc w:val="left"/>
      <w:pPr>
        <w:ind w:left="3511" w:hanging="663"/>
      </w:pPr>
      <w:rPr>
        <w:rFonts w:hint="default" w:ascii="Times New Roman" w:hAnsi="Times New Roman" w:cs="Times New Roman"/>
      </w:rPr>
    </w:lvl>
    <w:lvl w:ilvl="4" w:tentative="0">
      <w:start w:val="0"/>
      <w:numFmt w:val="bullet"/>
      <w:lvlText w:val="•"/>
      <w:lvlJc w:val="left"/>
      <w:pPr>
        <w:ind w:left="4362" w:hanging="663"/>
      </w:pPr>
      <w:rPr>
        <w:rFonts w:hint="default" w:ascii="Times New Roman" w:hAnsi="Times New Roman" w:cs="Times New Roman"/>
      </w:rPr>
    </w:lvl>
    <w:lvl w:ilvl="5" w:tentative="0">
      <w:start w:val="0"/>
      <w:numFmt w:val="bullet"/>
      <w:lvlText w:val="•"/>
      <w:lvlJc w:val="left"/>
      <w:pPr>
        <w:ind w:left="5213" w:hanging="663"/>
      </w:pPr>
      <w:rPr>
        <w:rFonts w:hint="default" w:ascii="Times New Roman" w:hAnsi="Times New Roman" w:cs="Times New Roman"/>
      </w:rPr>
    </w:lvl>
    <w:lvl w:ilvl="6" w:tentative="0">
      <w:start w:val="0"/>
      <w:numFmt w:val="bullet"/>
      <w:lvlText w:val="•"/>
      <w:lvlJc w:val="left"/>
      <w:pPr>
        <w:ind w:left="6063" w:hanging="663"/>
      </w:pPr>
      <w:rPr>
        <w:rFonts w:hint="default" w:ascii="Times New Roman" w:hAnsi="Times New Roman" w:cs="Times New Roman"/>
      </w:rPr>
    </w:lvl>
    <w:lvl w:ilvl="7" w:tentative="0">
      <w:start w:val="0"/>
      <w:numFmt w:val="bullet"/>
      <w:lvlText w:val="•"/>
      <w:lvlJc w:val="left"/>
      <w:pPr>
        <w:ind w:left="6914" w:hanging="663"/>
      </w:pPr>
      <w:rPr>
        <w:rFonts w:hint="default" w:ascii="Times New Roman" w:hAnsi="Times New Roman" w:cs="Times New Roman"/>
      </w:rPr>
    </w:lvl>
    <w:lvl w:ilvl="8" w:tentative="0">
      <w:start w:val="0"/>
      <w:numFmt w:val="bullet"/>
      <w:lvlText w:val="•"/>
      <w:lvlJc w:val="left"/>
      <w:pPr>
        <w:ind w:left="7764" w:hanging="663"/>
      </w:pPr>
      <w:rPr>
        <w:rFonts w:hint="default" w:ascii="Times New Roman" w:hAnsi="Times New Roman" w:cs="Times New Roman"/>
      </w:rPr>
    </w:lvl>
  </w:abstractNum>
  <w:abstractNum w:abstractNumId="9">
    <w:nsid w:val="448DA68A"/>
    <w:multiLevelType w:val="multilevel"/>
    <w:tmpl w:val="448DA68A"/>
    <w:lvl w:ilvl="0" w:tentative="0">
      <w:start w:val="2"/>
      <w:numFmt w:val="decimal"/>
      <w:lvlText w:val="%1"/>
      <w:lvlJc w:val="left"/>
      <w:pPr>
        <w:ind w:left="964" w:hanging="663"/>
      </w:pPr>
      <w:rPr>
        <w:rFonts w:hint="default" w:ascii="Times New Roman" w:hAnsi="Times New Roman" w:cs="Times New Roman"/>
      </w:rPr>
    </w:lvl>
    <w:lvl w:ilvl="1" w:tentative="0">
      <w:start w:val="1"/>
      <w:numFmt w:val="decimal"/>
      <w:lvlText w:val="%1.%2"/>
      <w:lvlJc w:val="left"/>
      <w:pPr>
        <w:ind w:left="964" w:hanging="663"/>
      </w:pPr>
      <w:rPr>
        <w:rFonts w:hint="default" w:ascii="Times New Roman" w:hAnsi="Times New Roman" w:cs="Times New Roman"/>
      </w:rPr>
    </w:lvl>
    <w:lvl w:ilvl="2" w:tentative="0">
      <w:start w:val="1"/>
      <w:numFmt w:val="decimal"/>
      <w:lvlText w:val="%1.%2.%3"/>
      <w:lvlJc w:val="left"/>
      <w:pPr>
        <w:ind w:left="964" w:hanging="663"/>
      </w:pPr>
      <w:rPr>
        <w:rFonts w:hint="eastAsia" w:ascii="宋体" w:hAnsi="宋体" w:eastAsia="宋体" w:cs="宋体"/>
        <w:b/>
        <w:spacing w:val="0"/>
        <w:sz w:val="24"/>
        <w:szCs w:val="24"/>
      </w:rPr>
    </w:lvl>
    <w:lvl w:ilvl="3" w:tentative="0">
      <w:start w:val="0"/>
      <w:numFmt w:val="bullet"/>
      <w:lvlText w:val="•"/>
      <w:lvlJc w:val="left"/>
      <w:pPr>
        <w:ind w:left="3176" w:hanging="663"/>
      </w:pPr>
      <w:rPr>
        <w:rFonts w:hint="default" w:ascii="Times New Roman" w:hAnsi="Times New Roman" w:cs="Times New Roman"/>
      </w:rPr>
    </w:lvl>
    <w:lvl w:ilvl="4" w:tentative="0">
      <w:start w:val="0"/>
      <w:numFmt w:val="bullet"/>
      <w:lvlText w:val="•"/>
      <w:lvlJc w:val="left"/>
      <w:pPr>
        <w:ind w:left="4075" w:hanging="663"/>
      </w:pPr>
      <w:rPr>
        <w:rFonts w:hint="default" w:ascii="Times New Roman" w:hAnsi="Times New Roman" w:cs="Times New Roman"/>
      </w:rPr>
    </w:lvl>
    <w:lvl w:ilvl="5" w:tentative="0">
      <w:start w:val="0"/>
      <w:numFmt w:val="bullet"/>
      <w:lvlText w:val="•"/>
      <w:lvlJc w:val="left"/>
      <w:pPr>
        <w:ind w:left="4973" w:hanging="663"/>
      </w:pPr>
      <w:rPr>
        <w:rFonts w:hint="default" w:ascii="Times New Roman" w:hAnsi="Times New Roman" w:cs="Times New Roman"/>
      </w:rPr>
    </w:lvl>
    <w:lvl w:ilvl="6" w:tentative="0">
      <w:start w:val="0"/>
      <w:numFmt w:val="bullet"/>
      <w:lvlText w:val="•"/>
      <w:lvlJc w:val="left"/>
      <w:pPr>
        <w:ind w:left="5872" w:hanging="663"/>
      </w:pPr>
      <w:rPr>
        <w:rFonts w:hint="default" w:ascii="Times New Roman" w:hAnsi="Times New Roman" w:cs="Times New Roman"/>
      </w:rPr>
    </w:lvl>
    <w:lvl w:ilvl="7" w:tentative="0">
      <w:start w:val="0"/>
      <w:numFmt w:val="bullet"/>
      <w:lvlText w:val="•"/>
      <w:lvlJc w:val="left"/>
      <w:pPr>
        <w:ind w:left="6770" w:hanging="663"/>
      </w:pPr>
      <w:rPr>
        <w:rFonts w:hint="default" w:ascii="Times New Roman" w:hAnsi="Times New Roman" w:cs="Times New Roman"/>
      </w:rPr>
    </w:lvl>
    <w:lvl w:ilvl="8" w:tentative="0">
      <w:start w:val="0"/>
      <w:numFmt w:val="bullet"/>
      <w:lvlText w:val="•"/>
      <w:lvlJc w:val="left"/>
      <w:pPr>
        <w:ind w:left="7669" w:hanging="663"/>
      </w:pPr>
      <w:rPr>
        <w:rFonts w:hint="default" w:ascii="Times New Roman" w:hAnsi="Times New Roman" w:cs="Times New Roman"/>
      </w:rPr>
    </w:lvl>
  </w:abstractNum>
  <w:abstractNum w:abstractNumId="10">
    <w:nsid w:val="48856463"/>
    <w:multiLevelType w:val="multilevel"/>
    <w:tmpl w:val="48856463"/>
    <w:lvl w:ilvl="0" w:tentative="0">
      <w:start w:val="3"/>
      <w:numFmt w:val="decimal"/>
      <w:lvlText w:val="%1"/>
      <w:lvlJc w:val="left"/>
      <w:pPr>
        <w:ind w:left="964" w:hanging="663"/>
      </w:pPr>
      <w:rPr>
        <w:rFonts w:hint="default" w:ascii="Times New Roman" w:hAnsi="Times New Roman" w:cs="Times New Roman"/>
      </w:rPr>
    </w:lvl>
    <w:lvl w:ilvl="1" w:tentative="0">
      <w:start w:val="1"/>
      <w:numFmt w:val="decimal"/>
      <w:lvlText w:val="%1.%2"/>
      <w:lvlJc w:val="left"/>
      <w:pPr>
        <w:ind w:left="964" w:hanging="663"/>
      </w:pPr>
      <w:rPr>
        <w:rFonts w:hint="default" w:ascii="Times New Roman" w:hAnsi="Times New Roman" w:cs="Times New Roman"/>
      </w:rPr>
    </w:lvl>
    <w:lvl w:ilvl="2" w:tentative="0">
      <w:start w:val="1"/>
      <w:numFmt w:val="decimal"/>
      <w:lvlText w:val="%1.%2.%3"/>
      <w:lvlJc w:val="left"/>
      <w:pPr>
        <w:ind w:left="964" w:hanging="663"/>
      </w:pPr>
      <w:rPr>
        <w:rFonts w:hint="eastAsia" w:ascii="宋体" w:hAnsi="宋体" w:eastAsia="宋体" w:cs="宋体"/>
        <w:b/>
        <w:spacing w:val="0"/>
        <w:sz w:val="24"/>
        <w:szCs w:val="24"/>
      </w:rPr>
    </w:lvl>
    <w:lvl w:ilvl="3" w:tentative="0">
      <w:start w:val="0"/>
      <w:numFmt w:val="bullet"/>
      <w:lvlText w:val="•"/>
      <w:lvlJc w:val="left"/>
      <w:pPr>
        <w:ind w:left="3511" w:hanging="663"/>
      </w:pPr>
      <w:rPr>
        <w:rFonts w:hint="default" w:ascii="Times New Roman" w:hAnsi="Times New Roman" w:cs="Times New Roman"/>
      </w:rPr>
    </w:lvl>
    <w:lvl w:ilvl="4" w:tentative="0">
      <w:start w:val="0"/>
      <w:numFmt w:val="bullet"/>
      <w:lvlText w:val="•"/>
      <w:lvlJc w:val="left"/>
      <w:pPr>
        <w:ind w:left="4362" w:hanging="663"/>
      </w:pPr>
      <w:rPr>
        <w:rFonts w:hint="default" w:ascii="Times New Roman" w:hAnsi="Times New Roman" w:cs="Times New Roman"/>
      </w:rPr>
    </w:lvl>
    <w:lvl w:ilvl="5" w:tentative="0">
      <w:start w:val="0"/>
      <w:numFmt w:val="bullet"/>
      <w:lvlText w:val="•"/>
      <w:lvlJc w:val="left"/>
      <w:pPr>
        <w:ind w:left="5213" w:hanging="663"/>
      </w:pPr>
      <w:rPr>
        <w:rFonts w:hint="default" w:ascii="Times New Roman" w:hAnsi="Times New Roman" w:cs="Times New Roman"/>
      </w:rPr>
    </w:lvl>
    <w:lvl w:ilvl="6" w:tentative="0">
      <w:start w:val="0"/>
      <w:numFmt w:val="bullet"/>
      <w:lvlText w:val="•"/>
      <w:lvlJc w:val="left"/>
      <w:pPr>
        <w:ind w:left="6063" w:hanging="663"/>
      </w:pPr>
      <w:rPr>
        <w:rFonts w:hint="default" w:ascii="Times New Roman" w:hAnsi="Times New Roman" w:cs="Times New Roman"/>
      </w:rPr>
    </w:lvl>
    <w:lvl w:ilvl="7" w:tentative="0">
      <w:start w:val="0"/>
      <w:numFmt w:val="bullet"/>
      <w:lvlText w:val="•"/>
      <w:lvlJc w:val="left"/>
      <w:pPr>
        <w:ind w:left="6914" w:hanging="663"/>
      </w:pPr>
      <w:rPr>
        <w:rFonts w:hint="default" w:ascii="Times New Roman" w:hAnsi="Times New Roman" w:cs="Times New Roman"/>
      </w:rPr>
    </w:lvl>
    <w:lvl w:ilvl="8" w:tentative="0">
      <w:start w:val="0"/>
      <w:numFmt w:val="bullet"/>
      <w:lvlText w:val="•"/>
      <w:lvlJc w:val="left"/>
      <w:pPr>
        <w:ind w:left="7764" w:hanging="663"/>
      </w:pPr>
      <w:rPr>
        <w:rFonts w:hint="default" w:ascii="Times New Roman" w:hAnsi="Times New Roman" w:cs="Times New Roman"/>
      </w:rPr>
    </w:lvl>
  </w:abstractNum>
  <w:num w:numId="1">
    <w:abstractNumId w:val="8"/>
  </w:num>
  <w:num w:numId="2">
    <w:abstractNumId w:val="0"/>
  </w:num>
  <w:num w:numId="3">
    <w:abstractNumId w:val="3"/>
  </w:num>
  <w:num w:numId="4">
    <w:abstractNumId w:val="2"/>
  </w:num>
  <w:num w:numId="5">
    <w:abstractNumId w:val="9"/>
  </w:num>
  <w:num w:numId="6">
    <w:abstractNumId w:val="4"/>
  </w:num>
  <w:num w:numId="7">
    <w:abstractNumId w:val="10"/>
  </w:num>
  <w:num w:numId="8">
    <w:abstractNumId w:val="7"/>
  </w:num>
  <w:num w:numId="9">
    <w:abstractNumId w:val="1"/>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8164F7"/>
    <w:rsid w:val="0002227F"/>
    <w:rsid w:val="000C424A"/>
    <w:rsid w:val="0011342D"/>
    <w:rsid w:val="001478F7"/>
    <w:rsid w:val="001B6D14"/>
    <w:rsid w:val="001F5B3D"/>
    <w:rsid w:val="0022146E"/>
    <w:rsid w:val="002E03F1"/>
    <w:rsid w:val="002E6B8E"/>
    <w:rsid w:val="003B0BEE"/>
    <w:rsid w:val="00405E1E"/>
    <w:rsid w:val="00452BA9"/>
    <w:rsid w:val="005F5F44"/>
    <w:rsid w:val="00615F62"/>
    <w:rsid w:val="007E458C"/>
    <w:rsid w:val="009342DC"/>
    <w:rsid w:val="00A53B82"/>
    <w:rsid w:val="00CB76B6"/>
    <w:rsid w:val="00CC2FA5"/>
    <w:rsid w:val="00D57B78"/>
    <w:rsid w:val="02C20BB5"/>
    <w:rsid w:val="03627DBC"/>
    <w:rsid w:val="04CF322B"/>
    <w:rsid w:val="0D001DB1"/>
    <w:rsid w:val="0EEE79F6"/>
    <w:rsid w:val="0F6661BB"/>
    <w:rsid w:val="1A7A54D5"/>
    <w:rsid w:val="1D7D6A2F"/>
    <w:rsid w:val="1DBD61C5"/>
    <w:rsid w:val="1E06009B"/>
    <w:rsid w:val="20452150"/>
    <w:rsid w:val="21B71858"/>
    <w:rsid w:val="269A299B"/>
    <w:rsid w:val="2A427492"/>
    <w:rsid w:val="2A4602FE"/>
    <w:rsid w:val="2BA0619F"/>
    <w:rsid w:val="2FFB332E"/>
    <w:rsid w:val="304F2588"/>
    <w:rsid w:val="31515B19"/>
    <w:rsid w:val="374D6CDC"/>
    <w:rsid w:val="38B00468"/>
    <w:rsid w:val="3C9A7791"/>
    <w:rsid w:val="3EB10D00"/>
    <w:rsid w:val="3FA85000"/>
    <w:rsid w:val="40A23CCF"/>
    <w:rsid w:val="44AE455F"/>
    <w:rsid w:val="486356C8"/>
    <w:rsid w:val="489D533B"/>
    <w:rsid w:val="4AA510EC"/>
    <w:rsid w:val="4C2640F3"/>
    <w:rsid w:val="4FBC5C47"/>
    <w:rsid w:val="51534CE0"/>
    <w:rsid w:val="54936D69"/>
    <w:rsid w:val="550D7223"/>
    <w:rsid w:val="566116D3"/>
    <w:rsid w:val="5922093A"/>
    <w:rsid w:val="5EE91D42"/>
    <w:rsid w:val="641135BE"/>
    <w:rsid w:val="66DB4134"/>
    <w:rsid w:val="69571C02"/>
    <w:rsid w:val="6ADC130A"/>
    <w:rsid w:val="708164F7"/>
    <w:rsid w:val="73BD276F"/>
    <w:rsid w:val="768120B4"/>
    <w:rsid w:val="78475491"/>
    <w:rsid w:val="7C1B74AB"/>
    <w:rsid w:val="7E065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528" w:lineRule="exact"/>
      <w:jc w:val="center"/>
      <w:outlineLvl w:val="0"/>
    </w:pPr>
    <w:rPr>
      <w:rFonts w:ascii="微软雅黑" w:hAnsi="微软雅黑" w:eastAsia="微软雅黑" w:cs="微软雅黑"/>
      <w:b/>
      <w:bCs/>
      <w:sz w:val="32"/>
      <w:szCs w:val="32"/>
    </w:rPr>
  </w:style>
  <w:style w:type="paragraph" w:styleId="3">
    <w:name w:val="heading 2"/>
    <w:basedOn w:val="1"/>
    <w:next w:val="1"/>
    <w:qFormat/>
    <w:uiPriority w:val="0"/>
    <w:pPr>
      <w:keepNext/>
      <w:keepLines/>
      <w:spacing w:before="260" w:after="260" w:line="360" w:lineRule="auto"/>
      <w:outlineLvl w:val="1"/>
    </w:pPr>
    <w:rPr>
      <w:rFonts w:ascii="黑体" w:hAnsi="黑体" w:eastAsia="黑体"/>
      <w:color w:val="000000"/>
      <w:sz w:val="24"/>
      <w:szCs w:val="30"/>
    </w:rPr>
  </w:style>
  <w:style w:type="paragraph" w:styleId="4">
    <w:name w:val="heading 3"/>
    <w:basedOn w:val="1"/>
    <w:next w:val="1"/>
    <w:qFormat/>
    <w:uiPriority w:val="0"/>
    <w:pPr>
      <w:keepNext/>
      <w:keepLines/>
      <w:spacing w:before="260" w:after="260" w:line="416" w:lineRule="auto"/>
      <w:outlineLvl w:val="2"/>
    </w:pPr>
    <w:rPr>
      <w:b/>
      <w:bCs/>
      <w:sz w:val="24"/>
    </w:rPr>
  </w:style>
  <w:style w:type="paragraph" w:styleId="5">
    <w:name w:val="heading 4"/>
    <w:basedOn w:val="1"/>
    <w:next w:val="1"/>
    <w:unhideWhenUsed/>
    <w:qFormat/>
    <w:uiPriority w:val="0"/>
    <w:pPr>
      <w:ind w:left="781"/>
      <w:outlineLvl w:val="3"/>
    </w:pPr>
    <w:rPr>
      <w:rFonts w:hint="eastAsia" w:cs="Times New Roman"/>
      <w:b/>
      <w:sz w:val="24"/>
      <w:szCs w:val="24"/>
      <w:lang w:val="en-US"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567"/>
      <w:jc w:val="both"/>
    </w:pPr>
    <w:rPr>
      <w:rFonts w:ascii="Times New Roman" w:hAnsi="Times New Roman" w:cs="Times New Roman"/>
      <w:kern w:val="2"/>
      <w:sz w:val="28"/>
      <w:szCs w:val="28"/>
      <w:lang w:val="en-US" w:bidi="ar-SA"/>
    </w:rPr>
  </w:style>
  <w:style w:type="paragraph" w:styleId="7">
    <w:name w:val="Body Text"/>
    <w:basedOn w:val="1"/>
    <w:qFormat/>
    <w:uiPriority w:val="1"/>
    <w:rPr>
      <w:sz w:val="32"/>
      <w:szCs w:val="32"/>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Body Text Indent 3"/>
    <w:basedOn w:val="1"/>
    <w:qFormat/>
    <w:uiPriority w:val="0"/>
    <w:pPr>
      <w:spacing w:line="360" w:lineRule="auto"/>
      <w:ind w:firstLine="480" w:firstLineChars="200"/>
    </w:pPr>
    <w:rPr>
      <w:sz w:val="24"/>
    </w:rPr>
  </w:style>
  <w:style w:type="paragraph" w:styleId="11">
    <w:name w:val="Normal (Web)"/>
    <w:basedOn w:val="1"/>
    <w:qFormat/>
    <w:uiPriority w:val="0"/>
    <w:rPr>
      <w:sz w:val="24"/>
    </w:rPr>
  </w:style>
  <w:style w:type="table" w:styleId="13">
    <w:name w:val="Table Grid"/>
    <w:basedOn w:val="12"/>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customStyle="1" w:styleId="16">
    <w:name w:val="样式3"/>
    <w:basedOn w:val="17"/>
    <w:qFormat/>
    <w:uiPriority w:val="0"/>
    <w:pPr>
      <w:spacing w:line="760" w:lineRule="exact"/>
      <w:ind w:firstLine="200" w:firstLineChars="200"/>
      <w:jc w:val="left"/>
    </w:pPr>
    <w:rPr>
      <w:rFonts w:ascii="Times New Roman" w:hAnsi="Times New Roman"/>
      <w:sz w:val="28"/>
      <w:u w:val="none"/>
    </w:rPr>
  </w:style>
  <w:style w:type="paragraph" w:customStyle="1" w:styleId="17">
    <w:name w:val="样式1"/>
    <w:basedOn w:val="1"/>
    <w:qFormat/>
    <w:uiPriority w:val="0"/>
    <w:pPr>
      <w:jc w:val="center"/>
    </w:pPr>
    <w:rPr>
      <w:u w:val="single"/>
    </w:rPr>
  </w:style>
  <w:style w:type="paragraph" w:customStyle="1" w:styleId="18">
    <w:name w:val="表头"/>
    <w:basedOn w:val="17"/>
    <w:qFormat/>
    <w:uiPriority w:val="0"/>
    <w:pPr>
      <w:spacing w:before="150" w:beforeLines="150"/>
    </w:pPr>
    <w:rPr>
      <w:rFonts w:ascii="Times New Roman" w:hAnsi="Times New Roman" w:eastAsia="黑体"/>
      <w:spacing w:val="40"/>
      <w:sz w:val="30"/>
      <w:u w:val="none"/>
    </w:rPr>
  </w:style>
  <w:style w:type="paragraph" w:customStyle="1" w:styleId="19">
    <w:name w:val="表头1"/>
    <w:basedOn w:val="17"/>
    <w:qFormat/>
    <w:uiPriority w:val="0"/>
    <w:pPr>
      <w:jc w:val="left"/>
    </w:pPr>
    <w:rPr>
      <w:rFonts w:ascii="Times New Roman" w:hAnsi="Times New Roman"/>
      <w:u w:val="none"/>
    </w:rPr>
  </w:style>
  <w:style w:type="paragraph" w:customStyle="1" w:styleId="20">
    <w:name w:val="表文字"/>
    <w:basedOn w:val="17"/>
    <w:qFormat/>
    <w:uiPriority w:val="0"/>
    <w:pPr>
      <w:spacing w:line="240" w:lineRule="exact"/>
    </w:pPr>
    <w:rPr>
      <w:rFonts w:ascii="Times New Roman" w:hAnsi="Times New Roman"/>
      <w:sz w:val="24"/>
      <w:u w:val="none"/>
    </w:rPr>
  </w:style>
  <w:style w:type="paragraph" w:customStyle="1" w:styleId="21">
    <w:name w:val="_正文格式"/>
    <w:basedOn w:val="1"/>
    <w:qFormat/>
    <w:uiPriority w:val="0"/>
    <w:pPr>
      <w:spacing w:line="560" w:lineRule="exact"/>
      <w:ind w:firstLine="200" w:firstLineChars="200"/>
    </w:pPr>
    <w:rPr>
      <w:rFonts w:eastAsia="仿宋_GB2312"/>
      <w:sz w:val="28"/>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paragraph" w:customStyle="1" w:styleId="24">
    <w:name w:val="xl44"/>
    <w:basedOn w:val="1"/>
    <w:qFormat/>
    <w:uiPriority w:val="0"/>
    <w:pPr>
      <w:widowControl/>
      <w:spacing w:beforeAutospacing="1" w:afterAutospacing="1"/>
      <w:jc w:val="center"/>
      <w:textAlignment w:val="center"/>
    </w:pPr>
    <w:rPr>
      <w:rFonts w:ascii="Times New Roman" w:hAnsi="Times New Roman" w:cs="Times New Roman"/>
      <w:sz w:val="24"/>
      <w:szCs w:val="24"/>
      <w:lang w:val="en-US" w:bidi="ar-SA"/>
    </w:rPr>
  </w:style>
  <w:style w:type="paragraph" w:customStyle="1" w:styleId="25">
    <w:name w:val="表格"/>
    <w:basedOn w:val="1"/>
    <w:qFormat/>
    <w:uiPriority w:val="0"/>
    <w:pPr>
      <w:adjustRightInd w:val="0"/>
      <w:spacing w:line="320" w:lineRule="exact"/>
      <w:ind w:firstLine="200" w:firstLineChars="200"/>
    </w:pPr>
    <w:rPr>
      <w:color w:val="000000"/>
      <w:spacing w:val="-20"/>
      <w:sz w:val="24"/>
      <w:szCs w:val="20"/>
    </w:rPr>
  </w:style>
  <w:style w:type="paragraph" w:customStyle="1" w:styleId="26">
    <w:name w:val="Heading #3|1"/>
    <w:basedOn w:val="1"/>
    <w:qFormat/>
    <w:uiPriority w:val="0"/>
    <w:pPr>
      <w:spacing w:before="320" w:after="230" w:line="300" w:lineRule="auto"/>
      <w:ind w:left="3240" w:hanging="750"/>
      <w:outlineLvl w:val="2"/>
    </w:pPr>
    <w:rPr>
      <w:sz w:val="54"/>
      <w:szCs w:val="54"/>
      <w:lang w:val="zh-TW" w:eastAsia="zh-TW" w:bidi="zh-TW"/>
    </w:rPr>
  </w:style>
  <w:style w:type="paragraph" w:customStyle="1" w:styleId="27">
    <w:name w:val="Heading #4|1"/>
    <w:basedOn w:val="1"/>
    <w:qFormat/>
    <w:uiPriority w:val="0"/>
    <w:pPr>
      <w:spacing w:after="440"/>
      <w:ind w:left="900"/>
      <w:outlineLvl w:val="3"/>
    </w:pPr>
    <w:rPr>
      <w:sz w:val="40"/>
      <w:szCs w:val="40"/>
      <w:lang w:val="zh-TW" w:eastAsia="zh-TW" w:bidi="zh-TW"/>
    </w:rPr>
  </w:style>
  <w:style w:type="paragraph" w:customStyle="1" w:styleId="28">
    <w:name w:val="Body text|2"/>
    <w:basedOn w:val="1"/>
    <w:qFormat/>
    <w:uiPriority w:val="0"/>
    <w:pPr>
      <w:spacing w:line="468" w:lineRule="auto"/>
      <w:ind w:firstLine="400"/>
    </w:pPr>
    <w:rPr>
      <w:sz w:val="32"/>
      <w:szCs w:val="32"/>
      <w:lang w:val="zh-TW" w:eastAsia="zh-TW" w:bidi="zh-TW"/>
    </w:rPr>
  </w:style>
  <w:style w:type="paragraph" w:customStyle="1" w:styleId="29">
    <w:name w:val="Other|1"/>
    <w:basedOn w:val="1"/>
    <w:qFormat/>
    <w:uiPriority w:val="0"/>
    <w:pPr>
      <w:spacing w:line="468" w:lineRule="auto"/>
      <w:ind w:firstLine="400"/>
    </w:pPr>
    <w:rPr>
      <w:sz w:val="32"/>
      <w:szCs w:val="32"/>
      <w:lang w:val="zh-TW" w:eastAsia="zh-TW" w:bidi="zh-TW"/>
    </w:rPr>
  </w:style>
  <w:style w:type="paragraph" w:customStyle="1" w:styleId="30">
    <w:name w:val="Picture caption|1"/>
    <w:basedOn w:val="1"/>
    <w:qFormat/>
    <w:uiPriority w:val="0"/>
    <w:rPr>
      <w:lang w:val="zh-TW" w:eastAsia="zh-TW" w:bidi="zh-TW"/>
    </w:rPr>
  </w:style>
  <w:style w:type="paragraph" w:customStyle="1" w:styleId="31">
    <w:name w:val="Heading #2|2"/>
    <w:basedOn w:val="1"/>
    <w:qFormat/>
    <w:uiPriority w:val="0"/>
    <w:pPr>
      <w:ind w:left="-60"/>
      <w:jc w:val="center"/>
      <w:outlineLvl w:val="1"/>
    </w:pPr>
    <w:rPr>
      <w:sz w:val="76"/>
      <w:szCs w:val="76"/>
    </w:rPr>
  </w:style>
  <w:style w:type="paragraph" w:customStyle="1" w:styleId="32">
    <w:name w:val="Body text|1"/>
    <w:basedOn w:val="1"/>
    <w:qFormat/>
    <w:uiPriority w:val="0"/>
    <w:pPr>
      <w:spacing w:line="468" w:lineRule="auto"/>
      <w:ind w:firstLine="400"/>
    </w:pPr>
    <w:rPr>
      <w:sz w:val="32"/>
      <w:szCs w:val="32"/>
      <w:lang w:val="zh-TW" w:eastAsia="zh-TW" w:bidi="zh-TW"/>
    </w:rPr>
  </w:style>
  <w:style w:type="paragraph" w:customStyle="1" w:styleId="33">
    <w:name w:val="Body text|3"/>
    <w:basedOn w:val="1"/>
    <w:link w:val="34"/>
    <w:qFormat/>
    <w:uiPriority w:val="0"/>
    <w:pPr>
      <w:spacing w:line="735" w:lineRule="exact"/>
      <w:ind w:firstLine="760"/>
    </w:pPr>
    <w:rPr>
      <w:sz w:val="36"/>
      <w:szCs w:val="36"/>
    </w:rPr>
  </w:style>
  <w:style w:type="character" w:customStyle="1" w:styleId="34">
    <w:name w:val="Body text|3_"/>
    <w:basedOn w:val="14"/>
    <w:link w:val="33"/>
    <w:qFormat/>
    <w:uiPriority w:val="0"/>
    <w:rPr>
      <w:sz w:val="36"/>
      <w:szCs w:val="36"/>
      <w:u w:val="none"/>
      <w:shd w:val="clear" w:color="auto" w:fill="auto"/>
    </w:rPr>
  </w:style>
  <w:style w:type="paragraph" w:customStyle="1" w:styleId="35">
    <w:name w:val="Table caption|1"/>
    <w:basedOn w:val="1"/>
    <w:qFormat/>
    <w:uiPriority w:val="0"/>
    <w:pPr>
      <w:jc w:val="right"/>
    </w:pPr>
    <w:rPr>
      <w:sz w:val="36"/>
      <w:szCs w:val="36"/>
      <w:lang w:val="zh-TW" w:eastAsia="zh-TW" w:bidi="zh-TW"/>
    </w:rPr>
  </w:style>
  <w:style w:type="paragraph" w:customStyle="1" w:styleId="36">
    <w:name w:val="Body text|5"/>
    <w:basedOn w:val="1"/>
    <w:qFormat/>
    <w:uiPriority w:val="0"/>
    <w:pPr>
      <w:spacing w:after="360"/>
    </w:pPr>
    <w:rPr>
      <w:color w:val="BF8EB0"/>
      <w:lang w:val="zh-TW" w:eastAsia="zh-TW" w:bidi="zh-TW"/>
    </w:rPr>
  </w:style>
  <w:style w:type="paragraph" w:customStyle="1" w:styleId="37">
    <w:name w:val="Body text|6"/>
    <w:basedOn w:val="1"/>
    <w:qFormat/>
    <w:uiPriority w:val="0"/>
    <w:rPr>
      <w:sz w:val="28"/>
      <w:szCs w:val="28"/>
      <w:lang w:val="zh-TW" w:eastAsia="zh-TW" w:bidi="zh-TW"/>
    </w:rPr>
  </w:style>
  <w:style w:type="paragraph" w:customStyle="1" w:styleId="38">
    <w:name w:val="Header or footer|2"/>
    <w:basedOn w:val="1"/>
    <w:qFormat/>
    <w:uiPriority w:val="0"/>
    <w:rPr>
      <w:sz w:val="20"/>
      <w:szCs w:val="20"/>
      <w:lang w:val="zh-TW" w:eastAsia="zh-TW" w:bidi="zh-TW"/>
    </w:rPr>
  </w:style>
  <w:style w:type="paragraph" w:customStyle="1" w:styleId="39">
    <w:name w:val="Header or footer|1"/>
    <w:basedOn w:val="1"/>
    <w:qFormat/>
    <w:uiPriority w:val="0"/>
    <w:rPr>
      <w:lang w:val="zh-TW" w:eastAsia="zh-TW" w:bidi="zh-TW"/>
    </w:rPr>
  </w:style>
  <w:style w:type="paragraph" w:customStyle="1" w:styleId="40">
    <w:name w:val="Table Paragraph"/>
    <w:basedOn w:val="1"/>
    <w:qFormat/>
    <w:uiPriority w:val="0"/>
    <w:rPr>
      <w:rFonts w:hint="eastAsia" w:cs="Times New Roman"/>
      <w:lang w:val="en-US" w:bidi="ar-SA"/>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29F1B-153C-4AB8-B316-E65315A06C8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48</Pages>
  <Words>2642</Words>
  <Characters>15066</Characters>
  <Lines>125</Lines>
  <Paragraphs>35</Paragraphs>
  <TotalTime>70</TotalTime>
  <ScaleCrop>false</ScaleCrop>
  <LinksUpToDate>false</LinksUpToDate>
  <CharactersWithSpaces>17673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2021-04-17T08:20:00Z</dcterms:created>
  <dc:creator>Administrator</dc:creator>
  <cp:lastModifiedBy>英思快印冯超</cp:lastModifiedBy>
  <cp:lastPrinted>2021-04-27T05:12:40Z</cp:lastPrinted>
  <dcterms:modified xsi:type="dcterms:W3CDTF">2021-04-27T05:28:07Z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54BBFC9470E34C5F9CFD2CCC0824AABD</vt:lpwstr>
  </property>
</Properties>
</file>